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DD0D5B">
      <w:pPr>
        <w:spacing w:line="1137" w:lineRule="exact"/>
        <w:ind w:firstLine="8353" w:firstLineChars="1600"/>
        <w:rPr>
          <w:lang w:eastAsia="zh-CN"/>
        </w:rPr>
      </w:pPr>
      <w:r>
        <w:rPr>
          <w:rFonts w:ascii="宋体"/>
          <w:b/>
          <w:bCs/>
          <w:sz w:val="52"/>
          <w:lang w:eastAsia="zh-CN"/>
        </w:rPr>
        <w:drawing>
          <wp:anchor distT="0" distB="0" distL="114300" distR="114300" simplePos="0" relativeHeight="251663360" behindDoc="0" locked="0" layoutInCell="1" allowOverlap="1">
            <wp:simplePos x="0" y="0"/>
            <wp:positionH relativeFrom="column">
              <wp:posOffset>3242310</wp:posOffset>
            </wp:positionH>
            <wp:positionV relativeFrom="paragraph">
              <wp:posOffset>11430</wp:posOffset>
            </wp:positionV>
            <wp:extent cx="1817370" cy="716280"/>
            <wp:effectExtent l="0" t="0" r="0" b="7620"/>
            <wp:wrapNone/>
            <wp:docPr id="1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817228" cy="716280"/>
                    </a:xfrm>
                    <a:prstGeom prst="rect">
                      <a:avLst/>
                    </a:prstGeom>
                    <a:noFill/>
                    <a:ln w="9525">
                      <a:noFill/>
                    </a:ln>
                  </pic:spPr>
                </pic:pic>
              </a:graphicData>
            </a:graphic>
          </wp:anchor>
        </w:drawing>
      </w:r>
      <w:r>
        <w:rPr>
          <w:rFonts w:hint="eastAsia" w:ascii="黑体" w:hAnsi="Calibri" w:eastAsia="黑体"/>
          <w:sz w:val="84"/>
          <w:szCs w:val="84"/>
          <w:lang w:eastAsia="zh-CN"/>
        </w:rPr>
        <w:t>(皖)</w:t>
      </w:r>
    </w:p>
    <w:p w14:paraId="45A2D4B4">
      <w:pPr>
        <w:jc w:val="center"/>
        <w:rPr>
          <w:rFonts w:ascii="方正小标宋_GBK" w:eastAsia="方正小标宋_GBK"/>
          <w:sz w:val="52"/>
          <w:szCs w:val="52"/>
          <w:lang w:eastAsia="zh-CN"/>
        </w:rPr>
      </w:pPr>
      <w:bookmarkStart w:id="0" w:name="_Toc190246693"/>
      <w:bookmarkStart w:id="1" w:name="_Toc190164392"/>
      <w:bookmarkStart w:id="73" w:name="_GoBack"/>
      <w:bookmarkEnd w:id="73"/>
      <w:r>
        <w:rPr>
          <w:rFonts w:hint="eastAsia" w:ascii="方正小标宋_GBK" w:eastAsia="方正小标宋_GBK"/>
          <w:sz w:val="52"/>
          <w:szCs w:val="52"/>
          <w:lang w:eastAsia="zh-CN"/>
        </w:rPr>
        <w:t>安徽省地方计量技术规范</w:t>
      </w:r>
      <w:bookmarkEnd w:id="0"/>
      <w:bookmarkEnd w:id="1"/>
    </w:p>
    <w:p w14:paraId="4BBC6449">
      <w:pPr>
        <w:spacing w:before="203" w:line="222" w:lineRule="auto"/>
        <w:ind w:left="6298"/>
        <w:rPr>
          <w:rFonts w:ascii="Times New Roman" w:hAnsi="Times New Roman" w:cs="Times New Roman" w:eastAsiaTheme="majorEastAsia"/>
          <w:b/>
          <w:sz w:val="24"/>
          <w:szCs w:val="24"/>
          <w:lang w:eastAsia="zh-CN"/>
        </w:rPr>
      </w:pPr>
      <w:r>
        <w:rPr>
          <w:rFonts w:ascii="Times New Roman" w:hAnsi="Times New Roman" w:cs="Times New Roman" w:eastAsiaTheme="majorEastAsia"/>
          <w:b/>
          <w:spacing w:val="-1"/>
          <w:sz w:val="28"/>
          <w:szCs w:val="24"/>
          <w:lang w:eastAsia="zh-CN"/>
        </w:rPr>
        <w:t>JJF（皖）XXX—2025</w:t>
      </w:r>
    </w:p>
    <w:p w14:paraId="5257BB68">
      <w:pPr>
        <w:pStyle w:val="3"/>
        <w:spacing w:line="253" w:lineRule="auto"/>
        <w:rPr>
          <w:rFonts w:eastAsiaTheme="minorEastAsia"/>
          <w:u w:val="single"/>
          <w:lang w:eastAsia="zh-CN"/>
        </w:rPr>
      </w:pPr>
      <w:r>
        <w:rPr>
          <w:rFonts w:hint="eastAsia" w:eastAsiaTheme="minorEastAsia"/>
          <w:u w:val="single"/>
          <w:lang w:eastAsia="zh-CN"/>
        </w:rPr>
        <w:t xml:space="preserve">                                                                                                                                                                                  </w:t>
      </w:r>
    </w:p>
    <w:p w14:paraId="0D3A5E6B">
      <w:pPr>
        <w:pStyle w:val="3"/>
        <w:spacing w:line="253" w:lineRule="auto"/>
        <w:rPr>
          <w:lang w:eastAsia="zh-CN"/>
        </w:rPr>
      </w:pPr>
    </w:p>
    <w:p w14:paraId="1FCDF0D2">
      <w:pPr>
        <w:pStyle w:val="3"/>
        <w:spacing w:line="253" w:lineRule="auto"/>
        <w:rPr>
          <w:lang w:eastAsia="zh-CN"/>
        </w:rPr>
      </w:pPr>
    </w:p>
    <w:p w14:paraId="66A1A40F">
      <w:pPr>
        <w:pStyle w:val="3"/>
        <w:spacing w:line="253" w:lineRule="auto"/>
        <w:rPr>
          <w:lang w:eastAsia="zh-CN"/>
        </w:rPr>
      </w:pPr>
    </w:p>
    <w:p w14:paraId="6DD18971">
      <w:pPr>
        <w:pStyle w:val="3"/>
        <w:spacing w:line="254" w:lineRule="auto"/>
        <w:rPr>
          <w:lang w:eastAsia="zh-CN"/>
        </w:rPr>
      </w:pPr>
    </w:p>
    <w:p w14:paraId="077BDD92">
      <w:pPr>
        <w:pStyle w:val="3"/>
        <w:spacing w:line="254" w:lineRule="auto"/>
        <w:rPr>
          <w:lang w:eastAsia="zh-CN"/>
        </w:rPr>
      </w:pPr>
    </w:p>
    <w:p w14:paraId="0CE3C882">
      <w:pPr>
        <w:pStyle w:val="3"/>
        <w:spacing w:line="254" w:lineRule="auto"/>
        <w:rPr>
          <w:lang w:eastAsia="zh-CN"/>
        </w:rPr>
      </w:pPr>
    </w:p>
    <w:p w14:paraId="7E10B3A0">
      <w:pPr>
        <w:pStyle w:val="3"/>
        <w:spacing w:line="254" w:lineRule="auto"/>
        <w:rPr>
          <w:lang w:eastAsia="zh-CN"/>
        </w:rPr>
      </w:pPr>
    </w:p>
    <w:p w14:paraId="28282DF9">
      <w:pPr>
        <w:pStyle w:val="3"/>
        <w:spacing w:line="254" w:lineRule="auto"/>
        <w:rPr>
          <w:lang w:eastAsia="zh-CN"/>
        </w:rPr>
      </w:pPr>
    </w:p>
    <w:p w14:paraId="79658109">
      <w:pPr>
        <w:pStyle w:val="3"/>
        <w:spacing w:line="254" w:lineRule="auto"/>
        <w:rPr>
          <w:lang w:eastAsia="zh-CN"/>
        </w:rPr>
      </w:pPr>
    </w:p>
    <w:p w14:paraId="6EF88B16">
      <w:pPr>
        <w:pStyle w:val="3"/>
        <w:spacing w:line="254" w:lineRule="auto"/>
        <w:rPr>
          <w:lang w:eastAsia="zh-CN"/>
        </w:rPr>
      </w:pPr>
    </w:p>
    <w:p w14:paraId="17FB355D">
      <w:pPr>
        <w:spacing w:before="169" w:line="221" w:lineRule="auto"/>
        <w:jc w:val="center"/>
        <w:rPr>
          <w:rFonts w:ascii="黑体" w:hAnsi="黑体" w:eastAsia="黑体" w:cs="黑体"/>
          <w:sz w:val="52"/>
          <w:szCs w:val="52"/>
          <w:lang w:eastAsia="zh-CN"/>
        </w:rPr>
      </w:pPr>
      <w:bookmarkStart w:id="2" w:name="OLE_LINK1"/>
      <w:r>
        <w:rPr>
          <w:rFonts w:ascii="黑体" w:hAnsi="黑体" w:eastAsia="黑体" w:cs="黑体"/>
          <w:spacing w:val="-3"/>
          <w:sz w:val="52"/>
          <w:szCs w:val="52"/>
          <w:lang w:eastAsia="zh-CN"/>
        </w:rPr>
        <w:t>零碳产业园</w:t>
      </w:r>
      <w:r>
        <w:rPr>
          <w:rFonts w:hint="eastAsia" w:ascii="黑体" w:hAnsi="黑体" w:eastAsia="黑体" w:cs="黑体"/>
          <w:spacing w:val="-3"/>
          <w:sz w:val="52"/>
          <w:szCs w:val="52"/>
          <w:lang w:eastAsia="zh-CN"/>
        </w:rPr>
        <w:t>碳计量体系建设指南</w:t>
      </w:r>
      <w:bookmarkEnd w:id="2"/>
    </w:p>
    <w:p w14:paraId="56002496">
      <w:pPr>
        <w:spacing w:before="231" w:line="265" w:lineRule="auto"/>
        <w:ind w:left="2127" w:right="2087" w:hanging="67"/>
        <w:jc w:val="center"/>
        <w:rPr>
          <w:rFonts w:ascii="Times New Roman" w:hAnsi="Times New Roman" w:cs="Times New Roman"/>
          <w:b/>
          <w:sz w:val="28"/>
          <w:szCs w:val="28"/>
          <w:lang w:eastAsia="zh-CN"/>
        </w:rPr>
      </w:pPr>
      <w:r>
        <w:rPr>
          <w:rFonts w:ascii="Times New Roman" w:hAnsi="Times New Roman" w:cs="Times New Roman"/>
          <w:b/>
          <w:sz w:val="28"/>
          <w:szCs w:val="28"/>
          <w:lang w:eastAsia="zh-CN"/>
        </w:rPr>
        <w:t>Guidelines for the Construction of Carbon</w:t>
      </w:r>
      <w:r>
        <w:rPr>
          <w:rFonts w:hint="eastAsia" w:ascii="Times New Roman" w:hAnsi="Times New Roman" w:cs="Times New Roman"/>
          <w:b/>
          <w:sz w:val="28"/>
          <w:szCs w:val="28"/>
          <w:lang w:eastAsia="zh-CN"/>
        </w:rPr>
        <w:t xml:space="preserve"> </w:t>
      </w:r>
      <w:r>
        <w:rPr>
          <w:rFonts w:ascii="Times New Roman" w:hAnsi="Times New Roman" w:cs="Times New Roman"/>
          <w:b/>
          <w:sz w:val="28"/>
          <w:szCs w:val="28"/>
          <w:lang w:eastAsia="zh-CN"/>
        </w:rPr>
        <w:t xml:space="preserve">Measurement System </w:t>
      </w:r>
      <w:r>
        <w:rPr>
          <w:rFonts w:hint="eastAsia" w:ascii="Times New Roman" w:hAnsi="Times New Roman" w:cs="Times New Roman"/>
          <w:b/>
          <w:sz w:val="28"/>
          <w:szCs w:val="28"/>
          <w:lang w:eastAsia="zh-CN"/>
        </w:rPr>
        <w:t>for</w:t>
      </w:r>
      <w:r>
        <w:rPr>
          <w:rFonts w:ascii="Times New Roman" w:hAnsi="Times New Roman" w:cs="Times New Roman"/>
          <w:b/>
          <w:sz w:val="28"/>
          <w:szCs w:val="28"/>
          <w:lang w:eastAsia="zh-CN"/>
        </w:rPr>
        <w:t xml:space="preserve"> Zero Carbon Industrial Park</w:t>
      </w:r>
      <w:r>
        <w:rPr>
          <w:rFonts w:hint="eastAsia" w:ascii="Times New Roman" w:hAnsi="Times New Roman" w:cs="Times New Roman"/>
          <w:b/>
          <w:sz w:val="28"/>
          <w:szCs w:val="28"/>
          <w:lang w:eastAsia="zh-CN"/>
        </w:rPr>
        <w:t>s</w:t>
      </w:r>
    </w:p>
    <w:p w14:paraId="7B0D6B69">
      <w:pPr>
        <w:pStyle w:val="3"/>
        <w:spacing w:line="247" w:lineRule="auto"/>
        <w:jc w:val="center"/>
        <w:rPr>
          <w:rFonts w:ascii="楷体" w:hAnsi="楷体" w:eastAsia="楷体"/>
          <w:sz w:val="48"/>
          <w:lang w:eastAsia="zh-CN"/>
        </w:rPr>
      </w:pPr>
      <w:r>
        <w:rPr>
          <w:rFonts w:hint="eastAsia" w:ascii="楷体" w:hAnsi="楷体" w:eastAsia="楷体"/>
          <w:sz w:val="48"/>
          <w:lang w:eastAsia="zh-CN"/>
        </w:rPr>
        <w:t>（报批稿）</w:t>
      </w:r>
    </w:p>
    <w:p w14:paraId="26D3FF8C">
      <w:pPr>
        <w:pStyle w:val="3"/>
        <w:spacing w:line="247" w:lineRule="auto"/>
        <w:rPr>
          <w:lang w:eastAsia="zh-CN"/>
        </w:rPr>
      </w:pPr>
    </w:p>
    <w:p w14:paraId="06955B35">
      <w:pPr>
        <w:pStyle w:val="3"/>
        <w:spacing w:line="247" w:lineRule="auto"/>
        <w:rPr>
          <w:lang w:eastAsia="zh-CN"/>
        </w:rPr>
      </w:pPr>
    </w:p>
    <w:p w14:paraId="24DF54BE">
      <w:pPr>
        <w:pStyle w:val="3"/>
        <w:spacing w:line="247" w:lineRule="auto"/>
        <w:rPr>
          <w:lang w:eastAsia="zh-CN"/>
        </w:rPr>
      </w:pPr>
    </w:p>
    <w:p w14:paraId="0D5C6411">
      <w:pPr>
        <w:pStyle w:val="3"/>
        <w:spacing w:line="247" w:lineRule="auto"/>
        <w:rPr>
          <w:lang w:eastAsia="zh-CN"/>
        </w:rPr>
      </w:pPr>
    </w:p>
    <w:p w14:paraId="2AE35E5B">
      <w:pPr>
        <w:pStyle w:val="3"/>
        <w:spacing w:line="247" w:lineRule="auto"/>
        <w:rPr>
          <w:lang w:eastAsia="zh-CN"/>
        </w:rPr>
      </w:pPr>
    </w:p>
    <w:p w14:paraId="3C3DFF1F">
      <w:pPr>
        <w:pStyle w:val="3"/>
        <w:spacing w:line="247" w:lineRule="auto"/>
        <w:rPr>
          <w:lang w:eastAsia="zh-CN"/>
        </w:rPr>
      </w:pPr>
    </w:p>
    <w:p w14:paraId="5FA80A7A">
      <w:pPr>
        <w:pStyle w:val="3"/>
        <w:spacing w:line="247" w:lineRule="auto"/>
        <w:rPr>
          <w:lang w:eastAsia="zh-CN"/>
        </w:rPr>
      </w:pPr>
    </w:p>
    <w:p w14:paraId="77386E2D">
      <w:pPr>
        <w:pStyle w:val="3"/>
        <w:spacing w:line="247" w:lineRule="auto"/>
        <w:rPr>
          <w:lang w:eastAsia="zh-CN"/>
        </w:rPr>
      </w:pPr>
    </w:p>
    <w:p w14:paraId="723FE89E">
      <w:pPr>
        <w:pStyle w:val="3"/>
        <w:spacing w:line="247" w:lineRule="auto"/>
        <w:rPr>
          <w:lang w:eastAsia="zh-CN"/>
        </w:rPr>
      </w:pPr>
    </w:p>
    <w:p w14:paraId="7DEC4C4F">
      <w:pPr>
        <w:pStyle w:val="3"/>
        <w:spacing w:line="247" w:lineRule="auto"/>
        <w:rPr>
          <w:lang w:eastAsia="zh-CN"/>
        </w:rPr>
      </w:pPr>
    </w:p>
    <w:p w14:paraId="6236417B">
      <w:pPr>
        <w:pStyle w:val="3"/>
        <w:spacing w:line="247" w:lineRule="auto"/>
        <w:rPr>
          <w:lang w:eastAsia="zh-CN"/>
        </w:rPr>
      </w:pPr>
    </w:p>
    <w:p w14:paraId="741B47AD">
      <w:pPr>
        <w:pStyle w:val="3"/>
        <w:spacing w:line="248" w:lineRule="auto"/>
        <w:rPr>
          <w:lang w:eastAsia="zh-CN"/>
        </w:rPr>
      </w:pPr>
    </w:p>
    <w:p w14:paraId="1CF672A0">
      <w:pPr>
        <w:pStyle w:val="3"/>
        <w:spacing w:line="248" w:lineRule="auto"/>
        <w:rPr>
          <w:lang w:eastAsia="zh-CN"/>
        </w:rPr>
      </w:pPr>
    </w:p>
    <w:p w14:paraId="2E6CC787">
      <w:pPr>
        <w:pStyle w:val="3"/>
        <w:spacing w:line="248" w:lineRule="auto"/>
        <w:rPr>
          <w:lang w:eastAsia="zh-CN"/>
        </w:rPr>
      </w:pPr>
    </w:p>
    <w:p w14:paraId="78177D1D">
      <w:pPr>
        <w:pStyle w:val="3"/>
        <w:spacing w:line="248" w:lineRule="auto"/>
        <w:rPr>
          <w:lang w:eastAsia="zh-CN"/>
        </w:rPr>
      </w:pPr>
    </w:p>
    <w:p w14:paraId="11B1592C">
      <w:pPr>
        <w:pStyle w:val="3"/>
        <w:spacing w:line="248" w:lineRule="auto"/>
        <w:rPr>
          <w:lang w:eastAsia="zh-CN"/>
        </w:rPr>
      </w:pPr>
    </w:p>
    <w:p w14:paraId="2B3BB02C">
      <w:pPr>
        <w:spacing w:before="91" w:line="222" w:lineRule="auto"/>
        <w:ind w:left="158"/>
        <w:rPr>
          <w:rFonts w:ascii="黑体" w:hAnsi="黑体" w:eastAsia="黑体" w:cs="黑体"/>
          <w:spacing w:val="-1"/>
          <w:sz w:val="28"/>
          <w:szCs w:val="28"/>
          <w:lang w:eastAsia="zh-CN"/>
        </w:rPr>
      </w:pPr>
      <w:r>
        <w:rPr>
          <w:rFonts w:ascii="黑体" w:hAnsi="黑体" w:eastAsia="黑体" w:cs="黑体"/>
          <w:sz w:val="28"/>
          <w:szCs w:val="28"/>
          <w:lang w:eastAsia="zh-CN"/>
        </w:rPr>
        <w:t>202</w:t>
      </w:r>
      <w:r>
        <w:rPr>
          <w:rFonts w:hint="eastAsia" w:ascii="黑体" w:hAnsi="黑体" w:eastAsia="黑体" w:cs="黑体"/>
          <w:sz w:val="28"/>
          <w:szCs w:val="28"/>
          <w:lang w:eastAsia="zh-CN"/>
        </w:rPr>
        <w:t>5</w:t>
      </w:r>
      <w:r>
        <w:rPr>
          <w:rFonts w:ascii="黑体" w:hAnsi="黑体" w:eastAsia="黑体" w:cs="黑体"/>
          <w:sz w:val="28"/>
          <w:szCs w:val="28"/>
          <w:lang w:eastAsia="zh-CN"/>
        </w:rPr>
        <w:t>-</w:t>
      </w:r>
      <w:r>
        <w:rPr>
          <w:rFonts w:hint="eastAsia" w:ascii="黑体" w:hAnsi="黑体" w:eastAsia="黑体" w:cs="黑体"/>
          <w:sz w:val="28"/>
          <w:szCs w:val="28"/>
          <w:lang w:eastAsia="zh-CN"/>
        </w:rPr>
        <w:t>XX</w:t>
      </w:r>
      <w:r>
        <w:rPr>
          <w:rFonts w:ascii="黑体" w:hAnsi="黑体" w:eastAsia="黑体" w:cs="黑体"/>
          <w:sz w:val="28"/>
          <w:szCs w:val="28"/>
          <w:lang w:eastAsia="zh-CN"/>
        </w:rPr>
        <w:t>-</w:t>
      </w:r>
      <w:r>
        <w:rPr>
          <w:rFonts w:hint="eastAsia" w:ascii="黑体" w:hAnsi="黑体" w:eastAsia="黑体" w:cs="黑体"/>
          <w:sz w:val="28"/>
          <w:szCs w:val="28"/>
          <w:lang w:eastAsia="zh-CN"/>
        </w:rPr>
        <w:t>XX</w:t>
      </w:r>
      <w:r>
        <w:rPr>
          <w:rFonts w:ascii="黑体" w:hAnsi="黑体" w:eastAsia="黑体" w:cs="黑体"/>
          <w:spacing w:val="-70"/>
          <w:sz w:val="28"/>
          <w:szCs w:val="28"/>
          <w:lang w:eastAsia="zh-CN"/>
        </w:rPr>
        <w:t xml:space="preserve"> </w:t>
      </w:r>
      <w:r>
        <w:rPr>
          <w:rFonts w:ascii="黑体" w:hAnsi="黑体" w:eastAsia="黑体" w:cs="黑体"/>
          <w:sz w:val="28"/>
          <w:szCs w:val="28"/>
          <w:lang w:eastAsia="zh-CN"/>
        </w:rPr>
        <w:t xml:space="preserve">发布        </w:t>
      </w:r>
      <w:r>
        <w:rPr>
          <w:rFonts w:ascii="黑体" w:hAnsi="黑体" w:eastAsia="黑体" w:cs="黑体"/>
          <w:spacing w:val="-1"/>
          <w:sz w:val="28"/>
          <w:szCs w:val="28"/>
          <w:lang w:eastAsia="zh-CN"/>
        </w:rPr>
        <w:t xml:space="preserve">                             202</w:t>
      </w:r>
      <w:r>
        <w:rPr>
          <w:rFonts w:hint="eastAsia" w:ascii="黑体" w:hAnsi="黑体" w:eastAsia="黑体" w:cs="黑体"/>
          <w:spacing w:val="-1"/>
          <w:sz w:val="28"/>
          <w:szCs w:val="28"/>
          <w:lang w:eastAsia="zh-CN"/>
        </w:rPr>
        <w:t>5</w:t>
      </w:r>
      <w:r>
        <w:rPr>
          <w:rFonts w:ascii="黑体" w:hAnsi="黑体" w:eastAsia="黑体" w:cs="黑体"/>
          <w:spacing w:val="-1"/>
          <w:sz w:val="28"/>
          <w:szCs w:val="28"/>
          <w:lang w:eastAsia="zh-CN"/>
        </w:rPr>
        <w:t>-</w:t>
      </w:r>
      <w:r>
        <w:rPr>
          <w:rFonts w:hint="eastAsia" w:ascii="黑体" w:hAnsi="黑体" w:eastAsia="黑体" w:cs="黑体"/>
          <w:spacing w:val="-1"/>
          <w:sz w:val="28"/>
          <w:szCs w:val="28"/>
          <w:lang w:eastAsia="zh-CN"/>
        </w:rPr>
        <w:t>XX</w:t>
      </w:r>
      <w:r>
        <w:rPr>
          <w:rFonts w:ascii="黑体" w:hAnsi="黑体" w:eastAsia="黑体" w:cs="黑体"/>
          <w:spacing w:val="-1"/>
          <w:sz w:val="28"/>
          <w:szCs w:val="28"/>
          <w:lang w:eastAsia="zh-CN"/>
        </w:rPr>
        <w:t>-</w:t>
      </w:r>
      <w:r>
        <w:rPr>
          <w:rFonts w:hint="eastAsia" w:ascii="黑体" w:hAnsi="黑体" w:eastAsia="黑体" w:cs="黑体"/>
          <w:spacing w:val="-1"/>
          <w:sz w:val="28"/>
          <w:szCs w:val="28"/>
          <w:lang w:eastAsia="zh-CN"/>
        </w:rPr>
        <w:t>XX</w:t>
      </w:r>
      <w:r>
        <w:rPr>
          <w:rFonts w:ascii="黑体" w:hAnsi="黑体" w:eastAsia="黑体" w:cs="黑体"/>
          <w:spacing w:val="-1"/>
          <w:sz w:val="28"/>
          <w:szCs w:val="28"/>
          <w:lang w:eastAsia="zh-CN"/>
        </w:rPr>
        <w:t>实施</w:t>
      </w:r>
    </w:p>
    <w:p w14:paraId="5AC93FA6">
      <w:pPr>
        <w:spacing w:before="91" w:line="222" w:lineRule="auto"/>
        <w:ind w:left="158"/>
        <w:rPr>
          <w:rFonts w:ascii="黑体" w:hAnsi="黑体" w:eastAsia="黑体" w:cs="黑体"/>
          <w:sz w:val="28"/>
          <w:szCs w:val="28"/>
          <w:u w:val="single"/>
          <w:lang w:eastAsia="zh-CN"/>
        </w:rPr>
      </w:pPr>
      <w:r>
        <w:rPr>
          <w:rFonts w:hint="eastAsia" w:ascii="黑体" w:hAnsi="黑体" w:eastAsia="黑体" w:cs="黑体"/>
          <w:sz w:val="28"/>
          <w:szCs w:val="28"/>
          <w:u w:val="single"/>
          <w:lang w:eastAsia="zh-CN"/>
        </w:rPr>
        <w:t xml:space="preserve">                                                                                  </w:t>
      </w:r>
    </w:p>
    <w:p w14:paraId="137310BE">
      <w:pPr>
        <w:spacing w:before="331" w:line="187" w:lineRule="auto"/>
        <w:ind w:left="551"/>
        <w:jc w:val="center"/>
        <w:rPr>
          <w:rFonts w:ascii="黑体" w:hAnsi="黑体" w:eastAsia="黑体" w:cs="黑体"/>
          <w:sz w:val="28"/>
          <w:szCs w:val="28"/>
          <w:lang w:eastAsia="zh-CN"/>
        </w:rPr>
      </w:pPr>
      <w:r>
        <w:rPr>
          <w:rFonts w:hint="eastAsia" w:ascii="微软雅黑" w:hAnsi="微软雅黑" w:eastAsia="微软雅黑" w:cs="微软雅黑"/>
          <w:spacing w:val="27"/>
          <w:w w:val="122"/>
          <w:sz w:val="43"/>
          <w:szCs w:val="43"/>
          <w:lang w:eastAsia="zh-CN"/>
        </w:rPr>
        <w:t>安徽省</w:t>
      </w:r>
      <w:r>
        <w:rPr>
          <w:rFonts w:ascii="微软雅黑" w:hAnsi="微软雅黑" w:eastAsia="微软雅黑" w:cs="微软雅黑"/>
          <w:spacing w:val="27"/>
          <w:w w:val="122"/>
          <w:sz w:val="43"/>
          <w:szCs w:val="43"/>
          <w:lang w:eastAsia="zh-CN"/>
        </w:rPr>
        <w:t>市场监督管理局</w:t>
      </w:r>
      <w:r>
        <w:rPr>
          <w:rFonts w:ascii="微软雅黑" w:hAnsi="微软雅黑" w:eastAsia="微软雅黑" w:cs="微软雅黑"/>
          <w:spacing w:val="12"/>
          <w:sz w:val="43"/>
          <w:szCs w:val="43"/>
          <w:lang w:eastAsia="zh-CN"/>
        </w:rPr>
        <w:t xml:space="preserve">  </w:t>
      </w:r>
      <w:r>
        <w:rPr>
          <w:rFonts w:ascii="黑体" w:hAnsi="黑体" w:eastAsia="黑体" w:cs="黑体"/>
          <w:spacing w:val="27"/>
          <w:w w:val="122"/>
          <w:sz w:val="28"/>
          <w:szCs w:val="28"/>
          <w:lang w:eastAsia="zh-CN"/>
        </w:rPr>
        <w:t>发</w:t>
      </w:r>
      <w:r>
        <w:rPr>
          <w:rFonts w:ascii="黑体" w:hAnsi="黑体" w:eastAsia="黑体" w:cs="黑体"/>
          <w:spacing w:val="7"/>
          <w:sz w:val="28"/>
          <w:szCs w:val="28"/>
          <w:lang w:eastAsia="zh-CN"/>
        </w:rPr>
        <w:t xml:space="preserve"> </w:t>
      </w:r>
      <w:r>
        <w:rPr>
          <w:rFonts w:ascii="黑体" w:hAnsi="黑体" w:eastAsia="黑体" w:cs="黑体"/>
          <w:spacing w:val="27"/>
          <w:w w:val="122"/>
          <w:sz w:val="28"/>
          <w:szCs w:val="28"/>
          <w:lang w:eastAsia="zh-CN"/>
        </w:rPr>
        <w:t>布</w:t>
      </w:r>
    </w:p>
    <w:p w14:paraId="7083C1B6">
      <w:pPr>
        <w:spacing w:line="187" w:lineRule="auto"/>
        <w:rPr>
          <w:rFonts w:ascii="黑体" w:hAnsi="黑体" w:eastAsia="黑体" w:cs="黑体"/>
          <w:sz w:val="28"/>
          <w:szCs w:val="28"/>
          <w:lang w:eastAsia="zh-CN"/>
        </w:rPr>
        <w:sectPr>
          <w:footerReference r:id="rId3" w:type="default"/>
          <w:pgSz w:w="11906" w:h="16839"/>
          <w:pgMar w:top="1440" w:right="1080" w:bottom="1440" w:left="1080" w:header="0" w:footer="0" w:gutter="0"/>
          <w:cols w:space="720" w:num="1"/>
          <w:docGrid w:linePitch="286" w:charSpace="0"/>
        </w:sectPr>
      </w:pPr>
    </w:p>
    <w:p w14:paraId="5632D8AE">
      <w:pPr>
        <w:pStyle w:val="3"/>
        <w:spacing w:line="272" w:lineRule="auto"/>
        <w:rPr>
          <w:lang w:eastAsia="zh-CN"/>
        </w:rPr>
      </w:pPr>
    </w:p>
    <w:p w14:paraId="2AE94A29">
      <w:pPr>
        <w:pStyle w:val="3"/>
        <w:spacing w:line="272" w:lineRule="auto"/>
        <w:rPr>
          <w:lang w:eastAsia="zh-CN"/>
        </w:rPr>
      </w:pPr>
    </w:p>
    <w:p w14:paraId="535AFF9F">
      <w:pPr>
        <w:pStyle w:val="3"/>
        <w:spacing w:line="272" w:lineRule="auto"/>
        <w:rPr>
          <w:lang w:eastAsia="zh-CN"/>
        </w:rPr>
      </w:pPr>
      <w:r>
        <w:rPr>
          <w:lang w:eastAsia="zh-CN"/>
        </w:rPr>
        <mc:AlternateContent>
          <mc:Choice Requires="wps">
            <w:drawing>
              <wp:anchor distT="0" distB="0" distL="114300" distR="114300" simplePos="0" relativeHeight="251661312" behindDoc="0" locked="0" layoutInCell="1" allowOverlap="1">
                <wp:simplePos x="0" y="0"/>
                <wp:positionH relativeFrom="column">
                  <wp:posOffset>-43180</wp:posOffset>
                </wp:positionH>
                <wp:positionV relativeFrom="paragraph">
                  <wp:posOffset>83820</wp:posOffset>
                </wp:positionV>
                <wp:extent cx="4796155" cy="358140"/>
                <wp:effectExtent l="4445" t="0" r="0" b="0"/>
                <wp:wrapNone/>
                <wp:docPr id="655387722" name="Text Box 3"/>
                <wp:cNvGraphicFramePr/>
                <a:graphic xmlns:a="http://schemas.openxmlformats.org/drawingml/2006/main">
                  <a:graphicData uri="http://schemas.microsoft.com/office/word/2010/wordprocessingShape">
                    <wps:wsp>
                      <wps:cNvSpPr txBox="1">
                        <a:spLocks noChangeArrowheads="1"/>
                      </wps:cNvSpPr>
                      <wps:spPr bwMode="auto">
                        <a:xfrm>
                          <a:off x="0" y="0"/>
                          <a:ext cx="4796155" cy="358140"/>
                        </a:xfrm>
                        <a:prstGeom prst="rect">
                          <a:avLst/>
                        </a:prstGeom>
                        <a:noFill/>
                        <a:ln>
                          <a:noFill/>
                        </a:ln>
                      </wps:spPr>
                      <wps:txbx>
                        <w:txbxContent>
                          <w:p w14:paraId="044E750A">
                            <w:pPr>
                              <w:spacing w:before="19" w:line="225" w:lineRule="auto"/>
                              <w:ind w:left="20"/>
                              <w:rPr>
                                <w:rFonts w:ascii="黑体" w:hAnsi="黑体" w:eastAsia="黑体" w:cs="黑体"/>
                                <w:sz w:val="43"/>
                                <w:szCs w:val="43"/>
                                <w:lang w:eastAsia="zh-CN"/>
                              </w:rPr>
                            </w:pPr>
                            <w:r>
                              <w:rPr>
                                <w:rFonts w:hint="eastAsia" w:ascii="黑体" w:hAnsi="黑体" w:eastAsia="黑体" w:cs="黑体"/>
                                <w:spacing w:val="7"/>
                                <w:sz w:val="43"/>
                                <w:szCs w:val="43"/>
                                <w:lang w:eastAsia="zh-CN"/>
                              </w:rPr>
                              <w:t>零碳产业园碳计量体系建设指南</w:t>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3.4pt;margin-top:6.6pt;height:28.2pt;width:377.65pt;z-index:251661312;mso-width-relative:page;mso-height-relative:page;" filled="f" stroked="f" coordsize="21600,21600" o:gfxdata="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OXE/s2AAAAAgBAAAPAAAAAAAAAAEAIAAAACIAAABk&#10;cnMvZG93bnJldi54bWxQSwECFAAUAAAACACHTuJA6IoyjAYCAAAMBAAADgAAAAAAAAABACAAAAAn&#10;AQAAZHJzL2Uyb0RvYy54bWxQSwUGAAAAAAYABgBZAQAAnwUAAAAA&#10;">
                <v:fill on="f" focussize="0,0"/>
                <v:stroke on="f"/>
                <v:imagedata o:title=""/>
                <o:lock v:ext="edit" aspectratio="f"/>
                <v:textbox inset="0mm,0mm,0mm,0mm">
                  <w:txbxContent>
                    <w:p w14:paraId="044E750A">
                      <w:pPr>
                        <w:spacing w:before="19" w:line="225" w:lineRule="auto"/>
                        <w:ind w:left="20"/>
                        <w:rPr>
                          <w:rFonts w:ascii="黑体" w:hAnsi="黑体" w:eastAsia="黑体" w:cs="黑体"/>
                          <w:sz w:val="43"/>
                          <w:szCs w:val="43"/>
                          <w:lang w:eastAsia="zh-CN"/>
                        </w:rPr>
                      </w:pPr>
                      <w:r>
                        <w:rPr>
                          <w:rFonts w:hint="eastAsia" w:ascii="黑体" w:hAnsi="黑体" w:eastAsia="黑体" w:cs="黑体"/>
                          <w:spacing w:val="7"/>
                          <w:sz w:val="43"/>
                          <w:szCs w:val="43"/>
                          <w:lang w:eastAsia="zh-CN"/>
                        </w:rPr>
                        <w:t>零碳产业园碳计量体系建设指南</w:t>
                      </w:r>
                    </w:p>
                  </w:txbxContent>
                </v:textbox>
              </v:shape>
            </w:pict>
          </mc:Fallback>
        </mc:AlternateContent>
      </w:r>
    </w:p>
    <w:p w14:paraId="4E7416BA">
      <w:pPr>
        <w:pStyle w:val="3"/>
        <w:spacing w:line="272" w:lineRule="auto"/>
        <w:rPr>
          <w:lang w:eastAsia="zh-CN"/>
        </w:rPr>
      </w:pPr>
      <w:r>
        <w:rPr>
          <w:lang w:eastAsia="zh-CN"/>
        </w:rPr>
        <mc:AlternateContent>
          <mc:Choice Requires="wps">
            <w:drawing>
              <wp:anchor distT="0" distB="0" distL="114300" distR="114300" simplePos="0" relativeHeight="251660288" behindDoc="0" locked="0" layoutInCell="1" allowOverlap="1">
                <wp:simplePos x="0" y="0"/>
                <wp:positionH relativeFrom="column">
                  <wp:posOffset>3947160</wp:posOffset>
                </wp:positionH>
                <wp:positionV relativeFrom="paragraph">
                  <wp:posOffset>139700</wp:posOffset>
                </wp:positionV>
                <wp:extent cx="1979930" cy="577850"/>
                <wp:effectExtent l="3810" t="0" r="0" b="3810"/>
                <wp:wrapNone/>
                <wp:docPr id="203056864" name="Text Box 2"/>
                <wp:cNvGraphicFramePr/>
                <a:graphic xmlns:a="http://schemas.openxmlformats.org/drawingml/2006/main">
                  <a:graphicData uri="http://schemas.microsoft.com/office/word/2010/wordprocessingShape">
                    <wps:wsp>
                      <wps:cNvSpPr txBox="1">
                        <a:spLocks noChangeArrowheads="1"/>
                      </wps:cNvSpPr>
                      <wps:spPr bwMode="auto">
                        <a:xfrm>
                          <a:off x="0" y="0"/>
                          <a:ext cx="1979930" cy="577850"/>
                        </a:xfrm>
                        <a:prstGeom prst="rect">
                          <a:avLst/>
                        </a:prstGeom>
                        <a:noFill/>
                        <a:ln>
                          <a:noFill/>
                        </a:ln>
                      </wps:spPr>
                      <wps:txbx>
                        <w:txbxContent>
                          <w:p w14:paraId="0143E4C5">
                            <w:pPr>
                              <w:spacing w:line="20" w:lineRule="exact"/>
                            </w:pPr>
                          </w:p>
                          <w:tbl>
                            <w:tblPr>
                              <w:tblStyle w:val="19"/>
                              <w:tblW w:w="3047" w:type="dxa"/>
                              <w:tblInd w:w="35" w:type="dxa"/>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3047"/>
                            </w:tblGrid>
                            <w:tr w14:paraId="403E499A">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10" w:hRule="atLeast"/>
                              </w:trPr>
                              <w:tc>
                                <w:tcPr>
                                  <w:tcW w:w="3047" w:type="dxa"/>
                                </w:tcPr>
                                <w:p w14:paraId="3C1731B5">
                                  <w:pPr>
                                    <w:spacing w:before="242" w:line="222" w:lineRule="auto"/>
                                    <w:ind w:left="332"/>
                                    <w:rPr>
                                      <w:rFonts w:ascii="黑体" w:hAnsi="黑体" w:eastAsia="黑体" w:cs="黑体"/>
                                      <w:sz w:val="28"/>
                                      <w:szCs w:val="28"/>
                                    </w:rPr>
                                  </w:pPr>
                                  <w:r>
                                    <w:rPr>
                                      <w:rFonts w:ascii="黑体" w:hAnsi="黑体" w:eastAsia="黑体" w:cs="黑体"/>
                                      <w:spacing w:val="-1"/>
                                      <w:sz w:val="28"/>
                                      <w:szCs w:val="28"/>
                                    </w:rPr>
                                    <w:t>JJF(</w:t>
                                  </w:r>
                                  <w:r>
                                    <w:rPr>
                                      <w:rFonts w:hint="eastAsia" w:ascii="黑体" w:hAnsi="黑体" w:eastAsia="黑体" w:cs="黑体"/>
                                      <w:spacing w:val="-1"/>
                                      <w:sz w:val="28"/>
                                      <w:szCs w:val="28"/>
                                      <w:lang w:eastAsia="zh-CN"/>
                                    </w:rPr>
                                    <w:t>皖</w:t>
                                  </w:r>
                                  <w:r>
                                    <w:rPr>
                                      <w:rFonts w:ascii="黑体" w:hAnsi="黑体" w:eastAsia="黑体" w:cs="黑体"/>
                                      <w:spacing w:val="-1"/>
                                      <w:sz w:val="28"/>
                                      <w:szCs w:val="28"/>
                                    </w:rPr>
                                    <w:t xml:space="preserve">) </w:t>
                                  </w:r>
                                  <w:r>
                                    <w:rPr>
                                      <w:rFonts w:hint="eastAsia" w:ascii="黑体" w:hAnsi="黑体" w:eastAsia="黑体" w:cs="黑体"/>
                                      <w:spacing w:val="-1"/>
                                      <w:sz w:val="28"/>
                                      <w:szCs w:val="28"/>
                                      <w:lang w:eastAsia="zh-CN"/>
                                    </w:rPr>
                                    <w:t>XXX</w:t>
                                  </w:r>
                                  <w:r>
                                    <w:rPr>
                                      <w:rFonts w:ascii="黑体" w:hAnsi="黑体" w:eastAsia="黑体" w:cs="黑体"/>
                                      <w:spacing w:val="-1"/>
                                      <w:sz w:val="28"/>
                                      <w:szCs w:val="28"/>
                                    </w:rPr>
                                    <w:t>—202</w:t>
                                  </w:r>
                                  <w:r>
                                    <w:rPr>
                                      <w:rFonts w:hint="eastAsia" w:ascii="黑体" w:hAnsi="黑体" w:eastAsia="黑体" w:cs="黑体"/>
                                      <w:spacing w:val="-1"/>
                                      <w:sz w:val="28"/>
                                      <w:szCs w:val="28"/>
                                      <w:lang w:eastAsia="zh-CN"/>
                                    </w:rPr>
                                    <w:t>5</w:t>
                                  </w:r>
                                </w:p>
                              </w:tc>
                            </w:tr>
                          </w:tbl>
                          <w:p w14:paraId="53FF8F88">
                            <w:pPr>
                              <w:pStyle w:val="3"/>
                            </w:pP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310.8pt;margin-top:11pt;height:45.5pt;width:155.9pt;z-index:251660288;mso-width-relative:page;mso-height-relative:page;" filled="f" stroked="f" coordsize="21600,21600" o:gfxdata="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Bs1ebtgAAAAKAQAADwAAAAAAAAABACAAAAAiAAAAZHJz&#10;L2Rvd25yZXYueG1sUEsBAhQAFAAAAAgAh07iQOsj75sEAgAADAQAAA4AAAAAAAAAAQAgAAAAJwEA&#10;AGRycy9lMm9Eb2MueG1sUEsFBgAAAAAGAAYAWQEAAJ0FAAAAAA==&#10;">
                <v:fill on="f" focussize="0,0"/>
                <v:stroke on="f"/>
                <v:imagedata o:title=""/>
                <o:lock v:ext="edit" aspectratio="f"/>
                <v:textbox inset="0mm,0mm,0mm,0mm">
                  <w:txbxContent>
                    <w:p w14:paraId="0143E4C5">
                      <w:pPr>
                        <w:spacing w:line="20" w:lineRule="exact"/>
                      </w:pPr>
                    </w:p>
                    <w:tbl>
                      <w:tblPr>
                        <w:tblStyle w:val="19"/>
                        <w:tblW w:w="3047" w:type="dxa"/>
                        <w:tblInd w:w="35" w:type="dxa"/>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3047"/>
                      </w:tblGrid>
                      <w:tr w14:paraId="403E499A">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10" w:hRule="atLeast"/>
                        </w:trPr>
                        <w:tc>
                          <w:tcPr>
                            <w:tcW w:w="3047" w:type="dxa"/>
                          </w:tcPr>
                          <w:p w14:paraId="3C1731B5">
                            <w:pPr>
                              <w:spacing w:before="242" w:line="222" w:lineRule="auto"/>
                              <w:ind w:left="332"/>
                              <w:rPr>
                                <w:rFonts w:ascii="黑体" w:hAnsi="黑体" w:eastAsia="黑体" w:cs="黑体"/>
                                <w:sz w:val="28"/>
                                <w:szCs w:val="28"/>
                              </w:rPr>
                            </w:pPr>
                            <w:r>
                              <w:rPr>
                                <w:rFonts w:ascii="黑体" w:hAnsi="黑体" w:eastAsia="黑体" w:cs="黑体"/>
                                <w:spacing w:val="-1"/>
                                <w:sz w:val="28"/>
                                <w:szCs w:val="28"/>
                              </w:rPr>
                              <w:t>JJF(</w:t>
                            </w:r>
                            <w:r>
                              <w:rPr>
                                <w:rFonts w:hint="eastAsia" w:ascii="黑体" w:hAnsi="黑体" w:eastAsia="黑体" w:cs="黑体"/>
                                <w:spacing w:val="-1"/>
                                <w:sz w:val="28"/>
                                <w:szCs w:val="28"/>
                                <w:lang w:eastAsia="zh-CN"/>
                              </w:rPr>
                              <w:t>皖</w:t>
                            </w:r>
                            <w:r>
                              <w:rPr>
                                <w:rFonts w:ascii="黑体" w:hAnsi="黑体" w:eastAsia="黑体" w:cs="黑体"/>
                                <w:spacing w:val="-1"/>
                                <w:sz w:val="28"/>
                                <w:szCs w:val="28"/>
                              </w:rPr>
                              <w:t xml:space="preserve">) </w:t>
                            </w:r>
                            <w:r>
                              <w:rPr>
                                <w:rFonts w:hint="eastAsia" w:ascii="黑体" w:hAnsi="黑体" w:eastAsia="黑体" w:cs="黑体"/>
                                <w:spacing w:val="-1"/>
                                <w:sz w:val="28"/>
                                <w:szCs w:val="28"/>
                                <w:lang w:eastAsia="zh-CN"/>
                              </w:rPr>
                              <w:t>XXX</w:t>
                            </w:r>
                            <w:r>
                              <w:rPr>
                                <w:rFonts w:ascii="黑体" w:hAnsi="黑体" w:eastAsia="黑体" w:cs="黑体"/>
                                <w:spacing w:val="-1"/>
                                <w:sz w:val="28"/>
                                <w:szCs w:val="28"/>
                              </w:rPr>
                              <w:t>—202</w:t>
                            </w:r>
                            <w:r>
                              <w:rPr>
                                <w:rFonts w:hint="eastAsia" w:ascii="黑体" w:hAnsi="黑体" w:eastAsia="黑体" w:cs="黑体"/>
                                <w:spacing w:val="-1"/>
                                <w:sz w:val="28"/>
                                <w:szCs w:val="28"/>
                                <w:lang w:eastAsia="zh-CN"/>
                              </w:rPr>
                              <w:t>5</w:t>
                            </w:r>
                          </w:p>
                        </w:tc>
                      </w:tr>
                    </w:tbl>
                    <w:p w14:paraId="53FF8F88">
                      <w:pPr>
                        <w:pStyle w:val="3"/>
                      </w:pPr>
                    </w:p>
                  </w:txbxContent>
                </v:textbox>
              </v:shape>
            </w:pict>
          </mc:Fallback>
        </mc:AlternateContent>
      </w:r>
    </w:p>
    <w:p w14:paraId="270D72C2">
      <w:pPr>
        <w:pStyle w:val="3"/>
        <w:spacing w:line="272" w:lineRule="auto"/>
        <w:rPr>
          <w:lang w:eastAsia="zh-CN"/>
        </w:rPr>
      </w:pPr>
    </w:p>
    <w:p w14:paraId="15CFFD2E">
      <w:pPr>
        <w:spacing w:before="81" w:line="413" w:lineRule="auto"/>
        <w:ind w:right="3854"/>
      </w:pPr>
      <w:r>
        <w:rPr>
          <w:rFonts w:ascii="Times New Roman" w:hAnsi="Times New Roman" w:eastAsia="Times New Roman" w:cs="Times New Roman"/>
          <w:b/>
          <w:bCs/>
          <w:sz w:val="28"/>
          <w:szCs w:val="28"/>
        </w:rPr>
        <w:t>Guidelines for the Construction of Carbon Measurement System for Zero Carbon Industrial Parks</w:t>
      </w:r>
    </w:p>
    <w:p w14:paraId="2A0A261B">
      <w:pPr>
        <w:pStyle w:val="3"/>
        <w:spacing w:line="258" w:lineRule="auto"/>
      </w:pPr>
      <w:r>
        <w:rPr>
          <w:lang w:eastAsia="zh-CN"/>
        </w:rPr>
        <w:drawing>
          <wp:anchor distT="0" distB="0" distL="0" distR="0" simplePos="0" relativeHeight="251662336" behindDoc="0" locked="0" layoutInCell="1" allowOverlap="1">
            <wp:simplePos x="0" y="0"/>
            <wp:positionH relativeFrom="column">
              <wp:posOffset>0</wp:posOffset>
            </wp:positionH>
            <wp:positionV relativeFrom="paragraph">
              <wp:posOffset>41910</wp:posOffset>
            </wp:positionV>
            <wp:extent cx="5972175" cy="13335"/>
            <wp:effectExtent l="0" t="0" r="0" b="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1"/>
                    <a:stretch>
                      <a:fillRect/>
                    </a:stretch>
                  </pic:blipFill>
                  <pic:spPr>
                    <a:xfrm>
                      <a:off x="0" y="0"/>
                      <a:ext cx="5972174" cy="13334"/>
                    </a:xfrm>
                    <a:prstGeom prst="rect">
                      <a:avLst/>
                    </a:prstGeom>
                  </pic:spPr>
                </pic:pic>
              </a:graphicData>
            </a:graphic>
          </wp:anchor>
        </w:drawing>
      </w:r>
    </w:p>
    <w:p w14:paraId="646A5702">
      <w:pPr>
        <w:pStyle w:val="3"/>
        <w:spacing w:line="258" w:lineRule="auto"/>
      </w:pPr>
    </w:p>
    <w:p w14:paraId="75EA7E48">
      <w:pPr>
        <w:pStyle w:val="3"/>
        <w:spacing w:line="258" w:lineRule="auto"/>
      </w:pPr>
    </w:p>
    <w:p w14:paraId="32C8DC91">
      <w:pPr>
        <w:pStyle w:val="3"/>
        <w:spacing w:line="258" w:lineRule="auto"/>
      </w:pPr>
    </w:p>
    <w:p w14:paraId="09804502">
      <w:pPr>
        <w:pStyle w:val="3"/>
        <w:spacing w:line="259" w:lineRule="auto"/>
      </w:pPr>
    </w:p>
    <w:p w14:paraId="33C33C11">
      <w:pPr>
        <w:pStyle w:val="3"/>
        <w:spacing w:line="259" w:lineRule="auto"/>
      </w:pPr>
    </w:p>
    <w:p w14:paraId="30C4A487">
      <w:pPr>
        <w:pStyle w:val="3"/>
        <w:spacing w:line="259" w:lineRule="auto"/>
      </w:pPr>
    </w:p>
    <w:p w14:paraId="6555B9D4">
      <w:pPr>
        <w:pStyle w:val="3"/>
        <w:spacing w:line="259" w:lineRule="auto"/>
      </w:pPr>
    </w:p>
    <w:p w14:paraId="6AAD0B7C">
      <w:pPr>
        <w:spacing w:before="91" w:line="397" w:lineRule="auto"/>
        <w:ind w:left="731" w:right="2300"/>
        <w:rPr>
          <w:rFonts w:ascii="宋体" w:hAnsi="宋体" w:eastAsia="宋体" w:cs="宋体"/>
          <w:sz w:val="28"/>
          <w:szCs w:val="28"/>
          <w:lang w:eastAsia="zh-CN"/>
        </w:rPr>
      </w:pPr>
      <w:r>
        <w:rPr>
          <w:rFonts w:ascii="黑体" w:hAnsi="黑体" w:eastAsia="黑体" w:cs="黑体"/>
          <w:spacing w:val="6"/>
          <w:sz w:val="28"/>
          <w:szCs w:val="28"/>
          <w:lang w:eastAsia="zh-CN"/>
        </w:rPr>
        <w:t>归</w:t>
      </w:r>
      <w:r>
        <w:rPr>
          <w:rFonts w:hint="eastAsia" w:ascii="黑体" w:hAnsi="黑体" w:eastAsia="黑体" w:cs="黑体"/>
          <w:spacing w:val="6"/>
          <w:sz w:val="28"/>
          <w:szCs w:val="28"/>
          <w:lang w:eastAsia="zh-CN"/>
        </w:rPr>
        <w:t xml:space="preserve"> </w:t>
      </w:r>
      <w:r>
        <w:rPr>
          <w:rFonts w:ascii="黑体" w:hAnsi="黑体" w:eastAsia="黑体" w:cs="黑体"/>
          <w:spacing w:val="6"/>
          <w:sz w:val="28"/>
          <w:szCs w:val="28"/>
          <w:lang w:eastAsia="zh-CN"/>
        </w:rPr>
        <w:t>口</w:t>
      </w:r>
      <w:r>
        <w:rPr>
          <w:rFonts w:hint="eastAsia" w:ascii="黑体" w:hAnsi="黑体" w:eastAsia="黑体" w:cs="黑体"/>
          <w:spacing w:val="6"/>
          <w:sz w:val="28"/>
          <w:szCs w:val="28"/>
          <w:lang w:eastAsia="zh-CN"/>
        </w:rPr>
        <w:t xml:space="preserve"> </w:t>
      </w:r>
      <w:r>
        <w:rPr>
          <w:rFonts w:ascii="黑体" w:hAnsi="黑体" w:eastAsia="黑体" w:cs="黑体"/>
          <w:spacing w:val="6"/>
          <w:sz w:val="28"/>
          <w:szCs w:val="28"/>
          <w:lang w:eastAsia="zh-CN"/>
        </w:rPr>
        <w:t>单</w:t>
      </w:r>
      <w:r>
        <w:rPr>
          <w:rFonts w:hint="eastAsia" w:ascii="黑体" w:hAnsi="黑体" w:eastAsia="黑体" w:cs="黑体"/>
          <w:spacing w:val="6"/>
          <w:sz w:val="28"/>
          <w:szCs w:val="28"/>
          <w:lang w:eastAsia="zh-CN"/>
        </w:rPr>
        <w:t xml:space="preserve"> </w:t>
      </w:r>
      <w:r>
        <w:rPr>
          <w:rFonts w:ascii="黑体" w:hAnsi="黑体" w:eastAsia="黑体" w:cs="黑体"/>
          <w:spacing w:val="6"/>
          <w:sz w:val="28"/>
          <w:szCs w:val="28"/>
          <w:lang w:eastAsia="zh-CN"/>
        </w:rPr>
        <w:t>位</w:t>
      </w:r>
      <w:r>
        <w:rPr>
          <w:rFonts w:hint="eastAsia" w:ascii="黑体" w:hAnsi="黑体" w:eastAsia="黑体" w:cs="黑体"/>
          <w:spacing w:val="6"/>
          <w:sz w:val="28"/>
          <w:szCs w:val="28"/>
          <w:lang w:eastAsia="zh-CN"/>
        </w:rPr>
        <w:t xml:space="preserve"> </w:t>
      </w:r>
      <w:r>
        <w:rPr>
          <w:rFonts w:ascii="黑体" w:hAnsi="黑体" w:eastAsia="黑体" w:cs="黑体"/>
          <w:spacing w:val="6"/>
          <w:sz w:val="28"/>
          <w:szCs w:val="28"/>
          <w:lang w:eastAsia="zh-CN"/>
        </w:rPr>
        <w:t>：</w:t>
      </w:r>
      <w:r>
        <w:rPr>
          <w:rFonts w:ascii="黑体" w:hAnsi="黑体" w:eastAsia="黑体" w:cs="黑体"/>
          <w:spacing w:val="-40"/>
          <w:sz w:val="28"/>
          <w:szCs w:val="28"/>
          <w:lang w:eastAsia="zh-CN"/>
        </w:rPr>
        <w:t xml:space="preserve"> </w:t>
      </w:r>
      <w:r>
        <w:rPr>
          <w:rFonts w:hint="eastAsia" w:ascii="黑体" w:hAnsi="黑体" w:eastAsia="黑体" w:cs="黑体"/>
          <w:spacing w:val="-40"/>
          <w:sz w:val="28"/>
          <w:szCs w:val="28"/>
          <w:lang w:eastAsia="zh-CN"/>
        </w:rPr>
        <w:t xml:space="preserve"> </w:t>
      </w:r>
      <w:r>
        <w:rPr>
          <w:rFonts w:hint="eastAsia" w:ascii="宋体" w:hAnsi="宋体" w:eastAsia="宋体" w:cs="黑体"/>
          <w:spacing w:val="-1"/>
          <w:sz w:val="28"/>
          <w:szCs w:val="28"/>
          <w:lang w:eastAsia="zh-CN"/>
        </w:rPr>
        <w:t>安徽省碳达峰碳中和计量技术委员会</w:t>
      </w:r>
      <w:r>
        <w:rPr>
          <w:rFonts w:ascii="宋体" w:hAnsi="宋体" w:eastAsia="宋体" w:cs="宋体"/>
          <w:spacing w:val="-2"/>
          <w:sz w:val="28"/>
          <w:szCs w:val="28"/>
          <w:lang w:eastAsia="zh-CN"/>
        </w:rPr>
        <w:t xml:space="preserve"> </w:t>
      </w:r>
    </w:p>
    <w:p w14:paraId="44FD882F">
      <w:pPr>
        <w:spacing w:before="91" w:line="397" w:lineRule="auto"/>
        <w:ind w:left="731" w:right="2300"/>
        <w:rPr>
          <w:rFonts w:ascii="宋体" w:hAnsi="宋体" w:eastAsia="宋体" w:cs="宋体"/>
          <w:sz w:val="28"/>
          <w:szCs w:val="28"/>
          <w:lang w:eastAsia="zh-CN"/>
        </w:rPr>
      </w:pPr>
      <w:r>
        <w:rPr>
          <w:rFonts w:ascii="黑体" w:hAnsi="黑体" w:eastAsia="黑体" w:cs="黑体"/>
          <w:spacing w:val="13"/>
          <w:sz w:val="28"/>
          <w:szCs w:val="28"/>
          <w:lang w:eastAsia="zh-CN"/>
        </w:rPr>
        <w:t>主要起草单位：</w:t>
      </w:r>
      <w:r>
        <w:rPr>
          <w:rFonts w:ascii="黑体" w:hAnsi="黑体" w:eastAsia="黑体" w:cs="黑体"/>
          <w:spacing w:val="-56"/>
          <w:sz w:val="28"/>
          <w:szCs w:val="28"/>
          <w:lang w:eastAsia="zh-CN"/>
        </w:rPr>
        <w:t xml:space="preserve"> </w:t>
      </w:r>
      <w:r>
        <w:rPr>
          <w:rFonts w:hint="eastAsia" w:ascii="黑体" w:hAnsi="黑体" w:eastAsia="黑体" w:cs="黑体"/>
          <w:spacing w:val="-56"/>
          <w:sz w:val="28"/>
          <w:szCs w:val="28"/>
          <w:lang w:eastAsia="zh-CN"/>
        </w:rPr>
        <w:t xml:space="preserve">   </w:t>
      </w:r>
      <w:r>
        <w:rPr>
          <w:rFonts w:hint="eastAsia" w:ascii="宋体" w:hAnsi="宋体" w:eastAsia="宋体" w:cs="宋体"/>
          <w:spacing w:val="-2"/>
          <w:sz w:val="28"/>
          <w:szCs w:val="28"/>
          <w:lang w:eastAsia="zh-CN"/>
        </w:rPr>
        <w:t>安徽省计量科学研究院</w:t>
      </w:r>
    </w:p>
    <w:p w14:paraId="7E945B74">
      <w:pPr>
        <w:spacing w:before="42" w:line="400" w:lineRule="auto"/>
        <w:ind w:left="726" w:right="815"/>
        <w:rPr>
          <w:rFonts w:hint="eastAsia" w:ascii="宋体" w:hAnsi="宋体" w:eastAsia="宋体" w:cs="宋体"/>
          <w:spacing w:val="-2"/>
          <w:sz w:val="28"/>
          <w:szCs w:val="28"/>
          <w:lang w:eastAsia="zh-CN"/>
        </w:rPr>
      </w:pPr>
      <w:r>
        <w:rPr>
          <w:rFonts w:ascii="黑体" w:hAnsi="黑体" w:eastAsia="黑体" w:cs="黑体"/>
          <w:spacing w:val="37"/>
          <w:sz w:val="28"/>
          <w:szCs w:val="28"/>
          <w:lang w:eastAsia="zh-CN"/>
        </w:rPr>
        <w:t>参加起草单位：</w:t>
      </w:r>
      <w:r>
        <w:rPr>
          <w:rFonts w:hint="eastAsia" w:ascii="黑体" w:hAnsi="黑体" w:eastAsia="黑体" w:cs="黑体"/>
          <w:spacing w:val="37"/>
          <w:sz w:val="28"/>
          <w:szCs w:val="28"/>
          <w:lang w:eastAsia="zh-CN"/>
        </w:rPr>
        <w:t xml:space="preserve"> </w:t>
      </w:r>
      <w:r>
        <w:rPr>
          <w:rFonts w:hint="eastAsia" w:ascii="宋体" w:hAnsi="宋体" w:eastAsia="宋体" w:cs="宋体"/>
          <w:spacing w:val="-2"/>
          <w:sz w:val="28"/>
          <w:szCs w:val="28"/>
          <w:lang w:eastAsia="zh-CN"/>
        </w:rPr>
        <w:t>安徽省长江计量所（九一0所）</w:t>
      </w:r>
    </w:p>
    <w:p w14:paraId="107ABC55">
      <w:pPr>
        <w:spacing w:before="42" w:line="400" w:lineRule="auto"/>
        <w:ind w:left="727" w:leftChars="346" w:right="815" w:firstLine="2484" w:firstLineChars="900"/>
        <w:rPr>
          <w:rFonts w:hint="eastAsia" w:ascii="黑体" w:hAnsi="黑体" w:eastAsia="黑体" w:cs="黑体"/>
          <w:spacing w:val="37"/>
          <w:sz w:val="28"/>
          <w:szCs w:val="28"/>
          <w:lang w:eastAsia="zh-CN"/>
        </w:rPr>
      </w:pPr>
      <w:r>
        <w:rPr>
          <w:rFonts w:hint="eastAsia" w:ascii="宋体" w:hAnsi="宋体" w:eastAsia="宋体" w:cs="宋体"/>
          <w:spacing w:val="-2"/>
          <w:sz w:val="28"/>
          <w:szCs w:val="28"/>
          <w:lang w:eastAsia="zh-CN"/>
        </w:rPr>
        <w:t>金寨县市场监督检验所</w:t>
      </w:r>
    </w:p>
    <w:p w14:paraId="179ECABF">
      <w:pPr>
        <w:spacing w:before="42" w:line="400" w:lineRule="auto"/>
        <w:ind w:left="727" w:leftChars="346" w:right="815" w:firstLine="2484" w:firstLineChars="900"/>
        <w:rPr>
          <w:rFonts w:ascii="宋体" w:hAnsi="宋体" w:eastAsia="宋体" w:cs="宋体"/>
          <w:spacing w:val="37"/>
          <w:sz w:val="28"/>
          <w:szCs w:val="28"/>
          <w:lang w:eastAsia="zh-CN"/>
        </w:rPr>
      </w:pPr>
      <w:r>
        <w:rPr>
          <w:rFonts w:hint="eastAsia" w:ascii="宋体" w:hAnsi="宋体" w:eastAsia="宋体" w:cs="宋体"/>
          <w:spacing w:val="-2"/>
          <w:sz w:val="28"/>
          <w:szCs w:val="28"/>
          <w:lang w:eastAsia="zh-CN"/>
        </w:rPr>
        <w:t>合肥市轨道交通集团运营有限公司</w:t>
      </w:r>
    </w:p>
    <w:p w14:paraId="42C144A6">
      <w:pPr>
        <w:spacing w:before="42" w:line="400" w:lineRule="auto"/>
        <w:ind w:left="727" w:leftChars="346" w:right="674" w:firstLine="2484" w:firstLineChars="900"/>
        <w:rPr>
          <w:rFonts w:ascii="宋体" w:hAnsi="宋体" w:eastAsia="宋体" w:cs="宋体"/>
          <w:spacing w:val="-2"/>
          <w:sz w:val="28"/>
          <w:szCs w:val="28"/>
          <w:highlight w:val="none"/>
          <w:lang w:eastAsia="zh-CN"/>
        </w:rPr>
      </w:pPr>
      <w:r>
        <w:rPr>
          <w:rFonts w:hint="eastAsia" w:ascii="宋体" w:hAnsi="宋体" w:eastAsia="宋体" w:cs="宋体"/>
          <w:spacing w:val="-2"/>
          <w:sz w:val="28"/>
          <w:szCs w:val="28"/>
          <w:highlight w:val="none"/>
          <w:lang w:eastAsia="zh-CN"/>
        </w:rPr>
        <w:t>安徽省皖能股份有限公司</w:t>
      </w:r>
    </w:p>
    <w:p w14:paraId="57758FCB">
      <w:pPr>
        <w:spacing w:before="42" w:line="400" w:lineRule="auto"/>
        <w:ind w:left="727" w:leftChars="346" w:right="674" w:firstLine="2484" w:firstLineChars="900"/>
        <w:rPr>
          <w:rFonts w:ascii="宋体" w:hAnsi="宋体" w:eastAsia="宋体" w:cs="宋体"/>
          <w:spacing w:val="-2"/>
          <w:sz w:val="28"/>
          <w:szCs w:val="28"/>
          <w:lang w:eastAsia="zh-CN"/>
        </w:rPr>
      </w:pPr>
    </w:p>
    <w:p w14:paraId="2BF3242F">
      <w:pPr>
        <w:pStyle w:val="3"/>
        <w:spacing w:line="241" w:lineRule="auto"/>
        <w:rPr>
          <w:lang w:eastAsia="zh-CN"/>
        </w:rPr>
      </w:pPr>
    </w:p>
    <w:p w14:paraId="0888337E">
      <w:pPr>
        <w:pStyle w:val="3"/>
        <w:spacing w:line="241" w:lineRule="auto"/>
        <w:rPr>
          <w:lang w:eastAsia="zh-CN"/>
        </w:rPr>
      </w:pPr>
    </w:p>
    <w:p w14:paraId="0DB16B09">
      <w:pPr>
        <w:pStyle w:val="3"/>
        <w:spacing w:line="241" w:lineRule="auto"/>
        <w:rPr>
          <w:lang w:eastAsia="zh-CN"/>
        </w:rPr>
      </w:pPr>
    </w:p>
    <w:p w14:paraId="6143E229">
      <w:pPr>
        <w:pStyle w:val="3"/>
        <w:spacing w:line="242" w:lineRule="auto"/>
        <w:rPr>
          <w:lang w:eastAsia="zh-CN"/>
        </w:rPr>
      </w:pPr>
    </w:p>
    <w:p w14:paraId="392F73B9">
      <w:pPr>
        <w:pStyle w:val="3"/>
        <w:spacing w:line="242" w:lineRule="auto"/>
        <w:rPr>
          <w:lang w:eastAsia="zh-CN"/>
        </w:rPr>
      </w:pPr>
    </w:p>
    <w:p w14:paraId="5F4D61F6">
      <w:pPr>
        <w:pStyle w:val="3"/>
        <w:spacing w:line="242" w:lineRule="auto"/>
        <w:rPr>
          <w:lang w:eastAsia="zh-CN"/>
        </w:rPr>
      </w:pPr>
    </w:p>
    <w:p w14:paraId="5AD06A27">
      <w:pPr>
        <w:pStyle w:val="3"/>
        <w:spacing w:line="242" w:lineRule="auto"/>
        <w:rPr>
          <w:lang w:eastAsia="zh-CN"/>
        </w:rPr>
      </w:pPr>
    </w:p>
    <w:p w14:paraId="04511290">
      <w:pPr>
        <w:pStyle w:val="3"/>
        <w:spacing w:line="242" w:lineRule="auto"/>
        <w:rPr>
          <w:lang w:eastAsia="zh-CN"/>
        </w:rPr>
      </w:pPr>
    </w:p>
    <w:p w14:paraId="2CF7817D">
      <w:pPr>
        <w:pStyle w:val="3"/>
        <w:spacing w:line="242" w:lineRule="auto"/>
        <w:rPr>
          <w:lang w:eastAsia="zh-CN"/>
        </w:rPr>
      </w:pPr>
    </w:p>
    <w:p w14:paraId="2FA9872E">
      <w:pPr>
        <w:pStyle w:val="3"/>
        <w:spacing w:line="242" w:lineRule="auto"/>
        <w:rPr>
          <w:lang w:eastAsia="zh-CN"/>
        </w:rPr>
      </w:pPr>
    </w:p>
    <w:p w14:paraId="0FBBCA1B">
      <w:pPr>
        <w:spacing w:line="222" w:lineRule="auto"/>
        <w:jc w:val="center"/>
        <w:rPr>
          <w:rFonts w:ascii="宋体" w:hAnsi="宋体" w:eastAsia="宋体" w:cs="黑体"/>
          <w:sz w:val="28"/>
          <w:szCs w:val="28"/>
          <w:lang w:eastAsia="zh-CN"/>
        </w:rPr>
        <w:sectPr>
          <w:headerReference r:id="rId4" w:type="default"/>
          <w:pgSz w:w="11906" w:h="16839"/>
          <w:pgMar w:top="1440" w:right="1080" w:bottom="1440" w:left="1080" w:header="1318" w:footer="0" w:gutter="0"/>
          <w:cols w:space="720" w:num="1"/>
          <w:docGrid w:linePitch="286" w:charSpace="0"/>
        </w:sectPr>
      </w:pPr>
      <w:r>
        <w:rPr>
          <w:rFonts w:hint="eastAsia" w:ascii="宋体" w:hAnsi="宋体" w:eastAsia="宋体" w:cs="黑体"/>
          <w:spacing w:val="-1"/>
          <w:sz w:val="28"/>
          <w:szCs w:val="28"/>
          <w:lang w:eastAsia="zh-CN"/>
        </w:rPr>
        <w:t>本规范委托安徽省碳达峰碳中和计量技术委员会负责解释</w:t>
      </w:r>
    </w:p>
    <w:p w14:paraId="7A3C435B">
      <w:pPr>
        <w:pStyle w:val="3"/>
        <w:spacing w:line="260" w:lineRule="auto"/>
        <w:rPr>
          <w:lang w:eastAsia="zh-CN"/>
        </w:rPr>
      </w:pPr>
    </w:p>
    <w:p w14:paraId="3E42189E">
      <w:pPr>
        <w:pStyle w:val="3"/>
        <w:spacing w:line="260" w:lineRule="auto"/>
        <w:rPr>
          <w:lang w:eastAsia="zh-CN"/>
        </w:rPr>
      </w:pPr>
    </w:p>
    <w:p w14:paraId="0AA23D8C">
      <w:pPr>
        <w:pStyle w:val="3"/>
        <w:spacing w:line="260" w:lineRule="auto"/>
        <w:rPr>
          <w:lang w:eastAsia="zh-CN"/>
        </w:rPr>
      </w:pPr>
    </w:p>
    <w:p w14:paraId="0AE292E1">
      <w:pPr>
        <w:spacing w:before="91" w:line="360" w:lineRule="auto"/>
        <w:ind w:left="3089" w:right="1253" w:hanging="2517"/>
        <w:rPr>
          <w:rFonts w:ascii="宋体" w:hAnsi="宋体" w:eastAsia="宋体" w:cs="宋体"/>
          <w:sz w:val="28"/>
          <w:szCs w:val="28"/>
          <w:lang w:eastAsia="zh-CN"/>
        </w:rPr>
      </w:pPr>
      <w:r>
        <w:rPr>
          <w:rFonts w:ascii="黑体" w:hAnsi="黑体" w:eastAsia="黑体" w:cs="黑体"/>
          <w:spacing w:val="-1"/>
          <w:sz w:val="28"/>
          <w:szCs w:val="28"/>
          <w:lang w:eastAsia="zh-CN"/>
        </w:rPr>
        <w:t>本规范主要起草人：</w:t>
      </w:r>
      <w:r>
        <w:rPr>
          <w:rFonts w:hint="eastAsia" w:ascii="宋体" w:hAnsi="宋体" w:eastAsia="宋体" w:cs="宋体"/>
          <w:spacing w:val="-2"/>
          <w:sz w:val="28"/>
          <w:szCs w:val="28"/>
          <w:lang w:eastAsia="zh-CN"/>
        </w:rPr>
        <w:t>吴  璋</w:t>
      </w:r>
      <w:r>
        <w:rPr>
          <w:rFonts w:ascii="宋体" w:hAnsi="宋体" w:eastAsia="宋体" w:cs="宋体"/>
          <w:spacing w:val="-2"/>
          <w:sz w:val="28"/>
          <w:szCs w:val="28"/>
          <w:lang w:eastAsia="zh-CN"/>
        </w:rPr>
        <w:t>（</w:t>
      </w:r>
      <w:r>
        <w:rPr>
          <w:rFonts w:hint="eastAsia" w:ascii="宋体" w:hAnsi="宋体" w:eastAsia="宋体" w:cs="宋体"/>
          <w:spacing w:val="-1"/>
          <w:sz w:val="28"/>
          <w:szCs w:val="28"/>
          <w:lang w:eastAsia="zh-CN"/>
        </w:rPr>
        <w:t>安徽省计量科学研究院</w:t>
      </w:r>
      <w:r>
        <w:rPr>
          <w:rFonts w:ascii="宋体" w:hAnsi="宋体" w:eastAsia="宋体" w:cs="宋体"/>
          <w:spacing w:val="-2"/>
          <w:sz w:val="28"/>
          <w:szCs w:val="28"/>
          <w:lang w:eastAsia="zh-CN"/>
        </w:rPr>
        <w:t>）</w:t>
      </w:r>
      <w:r>
        <w:rPr>
          <w:rFonts w:ascii="宋体" w:hAnsi="宋体" w:eastAsia="宋体" w:cs="宋体"/>
          <w:sz w:val="28"/>
          <w:szCs w:val="28"/>
          <w:lang w:eastAsia="zh-CN"/>
        </w:rPr>
        <w:t xml:space="preserve"> </w:t>
      </w:r>
    </w:p>
    <w:p w14:paraId="642D4B68">
      <w:pPr>
        <w:spacing w:before="91" w:line="360" w:lineRule="auto"/>
        <w:ind w:left="3087" w:leftChars="1470" w:right="1253"/>
        <w:rPr>
          <w:rFonts w:ascii="宋体" w:hAnsi="宋体" w:eastAsia="宋体" w:cs="宋体"/>
          <w:spacing w:val="-2"/>
          <w:sz w:val="28"/>
          <w:szCs w:val="28"/>
          <w:lang w:eastAsia="zh-CN"/>
        </w:rPr>
      </w:pPr>
      <w:r>
        <w:rPr>
          <w:rFonts w:hint="eastAsia" w:ascii="宋体" w:hAnsi="宋体" w:eastAsia="宋体" w:cs="宋体"/>
          <w:spacing w:val="-2"/>
          <w:sz w:val="28"/>
          <w:szCs w:val="28"/>
          <w:lang w:eastAsia="zh-CN"/>
        </w:rPr>
        <w:t>宋  超</w:t>
      </w:r>
      <w:r>
        <w:rPr>
          <w:rFonts w:ascii="宋体" w:hAnsi="宋体" w:eastAsia="宋体" w:cs="宋体"/>
          <w:spacing w:val="-2"/>
          <w:sz w:val="28"/>
          <w:szCs w:val="28"/>
          <w:lang w:eastAsia="zh-CN"/>
        </w:rPr>
        <w:t>（</w:t>
      </w:r>
      <w:r>
        <w:rPr>
          <w:rFonts w:hint="eastAsia" w:ascii="宋体" w:hAnsi="宋体" w:eastAsia="宋体" w:cs="宋体"/>
          <w:spacing w:val="-2"/>
          <w:sz w:val="28"/>
          <w:szCs w:val="28"/>
          <w:lang w:eastAsia="zh-CN"/>
        </w:rPr>
        <w:t>安徽省长江计量所（九一0所）</w:t>
      </w:r>
      <w:r>
        <w:rPr>
          <w:rFonts w:ascii="宋体" w:hAnsi="宋体" w:eastAsia="宋体" w:cs="宋体"/>
          <w:spacing w:val="-2"/>
          <w:sz w:val="28"/>
          <w:szCs w:val="28"/>
          <w:lang w:eastAsia="zh-CN"/>
        </w:rPr>
        <w:t>）</w:t>
      </w:r>
    </w:p>
    <w:p w14:paraId="72CCD97A">
      <w:pPr>
        <w:spacing w:before="91" w:line="360" w:lineRule="auto"/>
        <w:ind w:left="3087" w:leftChars="1470" w:right="1253"/>
        <w:rPr>
          <w:rFonts w:ascii="宋体" w:hAnsi="宋体" w:eastAsia="宋体" w:cs="宋体"/>
          <w:spacing w:val="-2"/>
          <w:sz w:val="28"/>
          <w:szCs w:val="28"/>
          <w:lang w:eastAsia="zh-CN"/>
        </w:rPr>
      </w:pPr>
      <w:r>
        <w:rPr>
          <w:rFonts w:hint="eastAsia" w:ascii="宋体" w:hAnsi="宋体" w:eastAsia="宋体" w:cs="宋体"/>
          <w:spacing w:val="-2"/>
          <w:sz w:val="28"/>
          <w:szCs w:val="28"/>
          <w:lang w:eastAsia="zh-CN"/>
        </w:rPr>
        <w:t>吴  军</w:t>
      </w:r>
      <w:r>
        <w:rPr>
          <w:rFonts w:ascii="宋体" w:hAnsi="宋体" w:eastAsia="宋体" w:cs="宋体"/>
          <w:spacing w:val="-2"/>
          <w:sz w:val="28"/>
          <w:szCs w:val="28"/>
          <w:lang w:eastAsia="zh-CN"/>
        </w:rPr>
        <w:t>（</w:t>
      </w:r>
      <w:r>
        <w:rPr>
          <w:rFonts w:hint="eastAsia" w:ascii="宋体" w:hAnsi="宋体" w:eastAsia="宋体" w:cs="宋体"/>
          <w:spacing w:val="-2"/>
          <w:sz w:val="28"/>
          <w:szCs w:val="28"/>
          <w:lang w:eastAsia="zh-CN"/>
        </w:rPr>
        <w:t>安徽省计量科学研究院</w:t>
      </w:r>
      <w:r>
        <w:rPr>
          <w:rFonts w:ascii="宋体" w:hAnsi="宋体" w:eastAsia="宋体" w:cs="宋体"/>
          <w:spacing w:val="-2"/>
          <w:sz w:val="28"/>
          <w:szCs w:val="28"/>
          <w:lang w:eastAsia="zh-CN"/>
        </w:rPr>
        <w:t>）</w:t>
      </w:r>
    </w:p>
    <w:p w14:paraId="0495E828">
      <w:pPr>
        <w:spacing w:before="91" w:line="360" w:lineRule="auto"/>
        <w:ind w:left="3087" w:leftChars="1470" w:right="1253"/>
        <w:rPr>
          <w:rFonts w:ascii="宋体" w:hAnsi="宋体" w:eastAsia="宋体" w:cs="宋体"/>
          <w:spacing w:val="-2"/>
          <w:sz w:val="28"/>
          <w:szCs w:val="28"/>
          <w:lang w:eastAsia="zh-CN"/>
        </w:rPr>
      </w:pPr>
      <w:r>
        <w:rPr>
          <w:rFonts w:hint="eastAsia" w:ascii="宋体" w:hAnsi="宋体" w:eastAsia="宋体" w:cs="宋体"/>
          <w:spacing w:val="-2"/>
          <w:sz w:val="28"/>
          <w:szCs w:val="28"/>
          <w:lang w:eastAsia="zh-CN"/>
        </w:rPr>
        <w:t>周永行</w:t>
      </w:r>
      <w:r>
        <w:rPr>
          <w:rFonts w:ascii="宋体" w:hAnsi="宋体" w:eastAsia="宋体" w:cs="宋体"/>
          <w:spacing w:val="-2"/>
          <w:sz w:val="28"/>
          <w:szCs w:val="28"/>
          <w:lang w:eastAsia="zh-CN"/>
        </w:rPr>
        <w:t>（</w:t>
      </w:r>
      <w:r>
        <w:rPr>
          <w:rFonts w:hint="eastAsia" w:ascii="宋体" w:hAnsi="宋体" w:eastAsia="宋体" w:cs="宋体"/>
          <w:spacing w:val="-2"/>
          <w:sz w:val="28"/>
          <w:szCs w:val="28"/>
          <w:lang w:eastAsia="zh-CN"/>
        </w:rPr>
        <w:t>金寨县市场监督检验所</w:t>
      </w:r>
      <w:r>
        <w:rPr>
          <w:rFonts w:ascii="宋体" w:hAnsi="宋体" w:eastAsia="宋体" w:cs="宋体"/>
          <w:spacing w:val="-2"/>
          <w:sz w:val="28"/>
          <w:szCs w:val="28"/>
          <w:lang w:eastAsia="zh-CN"/>
        </w:rPr>
        <w:t xml:space="preserve">） </w:t>
      </w:r>
    </w:p>
    <w:p w14:paraId="44BDAEB2">
      <w:pPr>
        <w:spacing w:before="91" w:line="360" w:lineRule="auto"/>
        <w:ind w:left="3087" w:leftChars="1470" w:right="1253"/>
        <w:rPr>
          <w:rFonts w:ascii="宋体" w:hAnsi="宋体" w:eastAsia="宋体" w:cs="宋体"/>
          <w:spacing w:val="-2"/>
          <w:sz w:val="28"/>
          <w:szCs w:val="28"/>
          <w:lang w:eastAsia="zh-CN"/>
        </w:rPr>
      </w:pPr>
      <w:r>
        <w:rPr>
          <w:rFonts w:hint="eastAsia" w:ascii="宋体" w:hAnsi="宋体" w:eastAsia="宋体" w:cs="宋体"/>
          <w:spacing w:val="-2"/>
          <w:sz w:val="28"/>
          <w:szCs w:val="28"/>
          <w:lang w:eastAsia="zh-CN"/>
        </w:rPr>
        <w:t>姚大龙</w:t>
      </w:r>
      <w:r>
        <w:rPr>
          <w:rFonts w:ascii="宋体" w:hAnsi="宋体" w:eastAsia="宋体" w:cs="宋体"/>
          <w:spacing w:val="-2"/>
          <w:sz w:val="28"/>
          <w:szCs w:val="28"/>
          <w:lang w:eastAsia="zh-CN"/>
        </w:rPr>
        <w:t>（</w:t>
      </w:r>
      <w:r>
        <w:rPr>
          <w:rFonts w:hint="eastAsia" w:ascii="宋体" w:hAnsi="宋体" w:eastAsia="宋体" w:cs="宋体"/>
          <w:spacing w:val="-2"/>
          <w:sz w:val="28"/>
          <w:szCs w:val="28"/>
          <w:lang w:eastAsia="zh-CN"/>
        </w:rPr>
        <w:t>安徽省计量科学研究院</w:t>
      </w:r>
      <w:r>
        <w:rPr>
          <w:rFonts w:ascii="宋体" w:hAnsi="宋体" w:eastAsia="宋体" w:cs="宋体"/>
          <w:spacing w:val="-2"/>
          <w:sz w:val="28"/>
          <w:szCs w:val="28"/>
          <w:lang w:eastAsia="zh-CN"/>
        </w:rPr>
        <w:t xml:space="preserve">） </w:t>
      </w:r>
    </w:p>
    <w:p w14:paraId="729F8C52">
      <w:pPr>
        <w:pStyle w:val="3"/>
        <w:spacing w:line="263" w:lineRule="auto"/>
        <w:rPr>
          <w:lang w:eastAsia="zh-CN"/>
        </w:rPr>
      </w:pPr>
    </w:p>
    <w:p w14:paraId="615958DD">
      <w:pPr>
        <w:spacing w:before="91" w:line="360" w:lineRule="auto"/>
        <w:ind w:left="794"/>
        <w:rPr>
          <w:rFonts w:ascii="宋体" w:hAnsi="宋体" w:eastAsia="宋体" w:cs="宋体"/>
          <w:spacing w:val="-6"/>
          <w:sz w:val="28"/>
          <w:szCs w:val="28"/>
          <w:lang w:eastAsia="zh-CN"/>
        </w:rPr>
      </w:pPr>
      <w:r>
        <w:rPr>
          <w:rFonts w:ascii="黑体" w:hAnsi="黑体" w:eastAsia="黑体" w:cs="黑体"/>
          <w:spacing w:val="-6"/>
          <w:sz w:val="28"/>
          <w:szCs w:val="28"/>
          <w:lang w:eastAsia="zh-CN"/>
        </w:rPr>
        <w:t>参 加 起 草</w:t>
      </w:r>
      <w:r>
        <w:rPr>
          <w:rFonts w:ascii="黑体" w:hAnsi="黑体" w:eastAsia="黑体" w:cs="黑体"/>
          <w:spacing w:val="-15"/>
          <w:sz w:val="28"/>
          <w:szCs w:val="28"/>
          <w:lang w:eastAsia="zh-CN"/>
        </w:rPr>
        <w:t xml:space="preserve"> </w:t>
      </w:r>
      <w:r>
        <w:rPr>
          <w:rFonts w:ascii="黑体" w:hAnsi="黑体" w:eastAsia="黑体" w:cs="黑体"/>
          <w:spacing w:val="-6"/>
          <w:sz w:val="28"/>
          <w:szCs w:val="28"/>
          <w:lang w:eastAsia="zh-CN"/>
        </w:rPr>
        <w:t>人 ：</w:t>
      </w:r>
      <w:r>
        <w:rPr>
          <w:rFonts w:hint="eastAsia" w:ascii="宋体" w:hAnsi="宋体" w:eastAsia="宋体" w:cs="宋体"/>
          <w:spacing w:val="-2"/>
          <w:sz w:val="28"/>
          <w:szCs w:val="28"/>
          <w:lang w:eastAsia="zh-CN"/>
        </w:rPr>
        <w:t>张善进</w:t>
      </w:r>
      <w:r>
        <w:rPr>
          <w:rFonts w:ascii="宋体" w:hAnsi="宋体" w:eastAsia="宋体" w:cs="宋体"/>
          <w:spacing w:val="-2"/>
          <w:sz w:val="28"/>
          <w:szCs w:val="28"/>
          <w:lang w:eastAsia="zh-CN"/>
        </w:rPr>
        <w:t>（</w:t>
      </w:r>
      <w:r>
        <w:rPr>
          <w:rFonts w:hint="eastAsia" w:ascii="宋体" w:hAnsi="宋体" w:eastAsia="宋体" w:cs="宋体"/>
          <w:spacing w:val="-2"/>
          <w:sz w:val="28"/>
          <w:szCs w:val="28"/>
          <w:lang w:eastAsia="zh-CN"/>
        </w:rPr>
        <w:t>合肥市轨道交通集团运营有限公司</w:t>
      </w:r>
      <w:r>
        <w:rPr>
          <w:rFonts w:ascii="宋体" w:hAnsi="宋体" w:eastAsia="宋体" w:cs="宋体"/>
          <w:spacing w:val="-2"/>
          <w:sz w:val="28"/>
          <w:szCs w:val="28"/>
          <w:lang w:eastAsia="zh-CN"/>
        </w:rPr>
        <w:t>）</w:t>
      </w:r>
    </w:p>
    <w:p w14:paraId="5E197C9D">
      <w:pPr>
        <w:spacing w:before="91" w:line="360" w:lineRule="auto"/>
        <w:ind w:left="3087" w:leftChars="1470" w:right="1253"/>
        <w:rPr>
          <w:rFonts w:ascii="宋体" w:hAnsi="宋体" w:eastAsia="宋体" w:cs="宋体"/>
          <w:spacing w:val="-2"/>
          <w:sz w:val="28"/>
          <w:szCs w:val="28"/>
          <w:lang w:eastAsia="zh-CN"/>
        </w:rPr>
      </w:pPr>
      <w:r>
        <w:rPr>
          <w:rFonts w:hint="eastAsia" w:ascii="宋体" w:hAnsi="宋体" w:eastAsia="宋体" w:cs="宋体"/>
          <w:spacing w:val="-2"/>
          <w:sz w:val="28"/>
          <w:szCs w:val="28"/>
          <w:lang w:eastAsia="zh-CN"/>
        </w:rPr>
        <w:t>李建河（安徽省皖能股份有限公司）</w:t>
      </w:r>
    </w:p>
    <w:p w14:paraId="21AF0D63">
      <w:pPr>
        <w:spacing w:line="223" w:lineRule="auto"/>
        <w:rPr>
          <w:rFonts w:ascii="宋体" w:hAnsi="宋体" w:eastAsia="宋体" w:cs="宋体"/>
          <w:sz w:val="28"/>
          <w:szCs w:val="28"/>
          <w:lang w:eastAsia="zh-CN"/>
        </w:rPr>
      </w:pPr>
    </w:p>
    <w:p w14:paraId="5D119323">
      <w:pPr>
        <w:rPr>
          <w:rFonts w:ascii="宋体" w:hAnsi="宋体" w:eastAsia="宋体" w:cs="宋体"/>
          <w:sz w:val="28"/>
          <w:szCs w:val="28"/>
          <w:lang w:eastAsia="zh-CN"/>
        </w:rPr>
      </w:pPr>
    </w:p>
    <w:p w14:paraId="18650527">
      <w:pPr>
        <w:rPr>
          <w:rFonts w:ascii="宋体" w:hAnsi="宋体" w:eastAsia="宋体" w:cs="宋体"/>
          <w:sz w:val="28"/>
          <w:szCs w:val="28"/>
          <w:lang w:eastAsia="zh-CN"/>
        </w:rPr>
      </w:pPr>
    </w:p>
    <w:p w14:paraId="050045D3">
      <w:pPr>
        <w:rPr>
          <w:rFonts w:ascii="宋体" w:hAnsi="宋体" w:eastAsia="宋体" w:cs="宋体"/>
          <w:sz w:val="28"/>
          <w:szCs w:val="28"/>
          <w:lang w:eastAsia="zh-CN"/>
        </w:rPr>
      </w:pPr>
    </w:p>
    <w:p w14:paraId="099EFF2D">
      <w:pPr>
        <w:rPr>
          <w:rFonts w:ascii="宋体" w:hAnsi="宋体" w:eastAsia="宋体" w:cs="宋体"/>
          <w:sz w:val="28"/>
          <w:szCs w:val="28"/>
          <w:lang w:eastAsia="zh-CN"/>
        </w:rPr>
      </w:pPr>
    </w:p>
    <w:p w14:paraId="47738DA0">
      <w:pPr>
        <w:rPr>
          <w:rFonts w:ascii="宋体" w:hAnsi="宋体" w:eastAsia="宋体" w:cs="宋体"/>
          <w:sz w:val="28"/>
          <w:szCs w:val="28"/>
          <w:lang w:eastAsia="zh-CN"/>
        </w:rPr>
      </w:pPr>
    </w:p>
    <w:p w14:paraId="506BC7FF">
      <w:pPr>
        <w:rPr>
          <w:rFonts w:ascii="宋体" w:hAnsi="宋体" w:eastAsia="宋体" w:cs="宋体"/>
          <w:sz w:val="28"/>
          <w:szCs w:val="28"/>
          <w:lang w:eastAsia="zh-CN"/>
        </w:rPr>
      </w:pPr>
    </w:p>
    <w:p w14:paraId="0B525DD0">
      <w:pPr>
        <w:rPr>
          <w:rFonts w:ascii="宋体" w:hAnsi="宋体" w:eastAsia="宋体" w:cs="宋体"/>
          <w:sz w:val="28"/>
          <w:szCs w:val="28"/>
          <w:lang w:eastAsia="zh-CN"/>
        </w:rPr>
      </w:pPr>
    </w:p>
    <w:p w14:paraId="7C8A6A90">
      <w:pPr>
        <w:rPr>
          <w:rFonts w:ascii="宋体" w:hAnsi="宋体" w:eastAsia="宋体" w:cs="宋体"/>
          <w:sz w:val="28"/>
          <w:szCs w:val="28"/>
          <w:lang w:eastAsia="zh-CN"/>
        </w:rPr>
      </w:pPr>
    </w:p>
    <w:p w14:paraId="314F6DCC">
      <w:pPr>
        <w:tabs>
          <w:tab w:val="left" w:pos="5937"/>
        </w:tabs>
        <w:rPr>
          <w:rFonts w:ascii="宋体" w:hAnsi="宋体" w:eastAsia="宋体" w:cs="宋体"/>
          <w:sz w:val="28"/>
          <w:szCs w:val="28"/>
          <w:lang w:eastAsia="zh-CN"/>
        </w:rPr>
        <w:sectPr>
          <w:headerReference r:id="rId5" w:type="default"/>
          <w:pgSz w:w="11906" w:h="16839"/>
          <w:pgMar w:top="1440" w:right="1080" w:bottom="1440" w:left="1080" w:header="1318" w:footer="0" w:gutter="0"/>
          <w:cols w:space="720" w:num="1"/>
          <w:docGrid w:linePitch="286" w:charSpace="0"/>
        </w:sectPr>
      </w:pPr>
      <w:r>
        <w:rPr>
          <w:rFonts w:ascii="宋体" w:hAnsi="宋体" w:eastAsia="宋体" w:cs="宋体"/>
          <w:sz w:val="28"/>
          <w:szCs w:val="28"/>
          <w:lang w:eastAsia="zh-CN"/>
        </w:rPr>
        <w:tab/>
      </w:r>
    </w:p>
    <w:p w14:paraId="427D4EE0">
      <w:pPr>
        <w:pStyle w:val="3"/>
        <w:spacing w:line="333" w:lineRule="auto"/>
        <w:rPr>
          <w:lang w:eastAsia="zh-CN"/>
        </w:rPr>
      </w:pPr>
    </w:p>
    <w:sdt>
      <w:sdtPr>
        <w:rPr>
          <w:rFonts w:ascii="黑体" w:hAnsi="黑体" w:eastAsia="黑体" w:cs="黑体"/>
          <w:sz w:val="43"/>
          <w:szCs w:val="43"/>
        </w:rPr>
        <w:id w:val="2027060412"/>
        <w:docPartObj>
          <w:docPartGallery w:val="Table of Contents"/>
          <w:docPartUnique/>
        </w:docPartObj>
      </w:sdtPr>
      <w:sdtEndPr>
        <w:rPr>
          <w:rFonts w:ascii="宋体" w:hAnsi="宋体" w:eastAsia="宋体" w:cs="宋体"/>
          <w:sz w:val="24"/>
          <w:szCs w:val="24"/>
        </w:rPr>
      </w:sdtEndPr>
      <w:sdtContent>
        <w:p w14:paraId="004CB9D5">
          <w:pPr>
            <w:spacing w:before="140" w:line="225" w:lineRule="auto"/>
            <w:ind w:left="4088"/>
            <w:rPr>
              <w:rFonts w:ascii="黑体" w:hAnsi="黑体" w:eastAsia="黑体" w:cs="黑体"/>
              <w:sz w:val="43"/>
              <w:szCs w:val="43"/>
              <w:lang w:eastAsia="zh-CN"/>
            </w:rPr>
          </w:pPr>
          <w:r>
            <w:rPr>
              <w:rFonts w:ascii="黑体" w:hAnsi="黑体" w:eastAsia="黑体" w:cs="黑体"/>
              <w:spacing w:val="-32"/>
              <w:sz w:val="43"/>
              <w:szCs w:val="43"/>
              <w:lang w:eastAsia="zh-CN"/>
            </w:rPr>
            <w:t>目</w:t>
          </w:r>
          <w:r>
            <w:rPr>
              <w:rFonts w:ascii="黑体" w:hAnsi="黑体" w:eastAsia="黑体" w:cs="黑体"/>
              <w:spacing w:val="16"/>
              <w:sz w:val="43"/>
              <w:szCs w:val="43"/>
              <w:lang w:eastAsia="zh-CN"/>
            </w:rPr>
            <w:t xml:space="preserve">  </w:t>
          </w:r>
          <w:r>
            <w:rPr>
              <w:rFonts w:ascii="黑体" w:hAnsi="黑体" w:eastAsia="黑体" w:cs="黑体"/>
              <w:spacing w:val="-32"/>
              <w:sz w:val="43"/>
              <w:szCs w:val="43"/>
              <w:lang w:eastAsia="zh-CN"/>
            </w:rPr>
            <w:t>录</w:t>
          </w:r>
        </w:p>
      </w:sdtContent>
    </w:sdt>
    <w:p w14:paraId="6F148DF1">
      <w:pPr>
        <w:spacing w:line="219" w:lineRule="auto"/>
        <w:rPr>
          <w:rFonts w:ascii="宋体" w:hAnsi="宋体" w:eastAsia="宋体" w:cs="宋体"/>
          <w:sz w:val="24"/>
          <w:szCs w:val="24"/>
          <w:lang w:eastAsia="zh-CN"/>
        </w:rPr>
      </w:pPr>
    </w:p>
    <w:p w14:paraId="24F13770">
      <w:pPr>
        <w:pStyle w:val="11"/>
        <w:tabs>
          <w:tab w:val="right" w:leader="dot" w:pos="9736"/>
        </w:tabs>
        <w:rPr>
          <w:rFonts w:cstheme="minorBidi"/>
          <w:b w:val="0"/>
          <w:bCs w:val="0"/>
          <w:caps w:val="0"/>
          <w:snapToGrid/>
          <w:color w:val="auto"/>
          <w:kern w:val="2"/>
          <w:sz w:val="21"/>
          <w:szCs w:val="22"/>
          <w:lang w:eastAsia="zh-CN"/>
        </w:rPr>
      </w:pPr>
      <w:r>
        <w:rPr>
          <w:rFonts w:cs="宋体" w:asciiTheme="minorEastAsia" w:hAnsiTheme="minorEastAsia"/>
          <w:b w:val="0"/>
          <w:sz w:val="24"/>
          <w:szCs w:val="24"/>
          <w:lang w:eastAsia="zh-CN"/>
        </w:rPr>
        <w:fldChar w:fldCharType="begin"/>
      </w:r>
      <w:r>
        <w:rPr>
          <w:rFonts w:cs="宋体" w:asciiTheme="minorEastAsia" w:hAnsiTheme="minorEastAsia"/>
          <w:b w:val="0"/>
          <w:sz w:val="24"/>
          <w:szCs w:val="24"/>
          <w:lang w:eastAsia="zh-CN"/>
        </w:rPr>
        <w:instrText xml:space="preserve"> TOC \o "1-2" \h \z \u </w:instrText>
      </w:r>
      <w:r>
        <w:rPr>
          <w:rFonts w:cs="宋体" w:asciiTheme="minorEastAsia" w:hAnsiTheme="minorEastAsia"/>
          <w:b w:val="0"/>
          <w:sz w:val="24"/>
          <w:szCs w:val="24"/>
          <w:lang w:eastAsia="zh-CN"/>
        </w:rPr>
        <w:fldChar w:fldCharType="separate"/>
      </w:r>
      <w:r>
        <w:fldChar w:fldCharType="begin"/>
      </w:r>
      <w:r>
        <w:instrText xml:space="preserve"> HYPERLINK \l "_Toc190246693" </w:instrText>
      </w:r>
      <w:r>
        <w:fldChar w:fldCharType="separate"/>
      </w:r>
      <w:r>
        <w:fldChar w:fldCharType="end"/>
      </w:r>
    </w:p>
    <w:p w14:paraId="6A51169D">
      <w:pPr>
        <w:pStyle w:val="11"/>
        <w:tabs>
          <w:tab w:val="right" w:leader="dot" w:pos="9736"/>
        </w:tabs>
        <w:rPr>
          <w:rFonts w:asciiTheme="minorEastAsia" w:hAnsiTheme="minorEastAsia" w:cstheme="minorBidi"/>
          <w:b w:val="0"/>
          <w:bCs w:val="0"/>
          <w:caps w:val="0"/>
          <w:snapToGrid/>
          <w:color w:val="auto"/>
          <w:kern w:val="2"/>
          <w:sz w:val="21"/>
          <w:szCs w:val="22"/>
          <w:lang w:eastAsia="zh-CN"/>
        </w:rPr>
      </w:pPr>
      <w:r>
        <w:fldChar w:fldCharType="begin"/>
      </w:r>
      <w:r>
        <w:instrText xml:space="preserve"> HYPERLINK \l "_Toc190246694" </w:instrText>
      </w:r>
      <w:r>
        <w:fldChar w:fldCharType="separate"/>
      </w:r>
      <w:r>
        <w:rPr>
          <w:rStyle w:val="18"/>
          <w:rFonts w:hint="eastAsia" w:cs="黑体" w:asciiTheme="minorEastAsia" w:hAnsiTheme="minorEastAsia"/>
          <w:b w:val="0"/>
          <w:spacing w:val="-28"/>
          <w:lang w:eastAsia="zh-CN"/>
        </w:rPr>
        <w:t>引</w:t>
      </w:r>
      <w:r>
        <w:rPr>
          <w:rStyle w:val="18"/>
          <w:rFonts w:cs="黑体" w:asciiTheme="minorEastAsia" w:hAnsiTheme="minorEastAsia"/>
          <w:b w:val="0"/>
          <w:spacing w:val="18"/>
          <w:lang w:eastAsia="zh-CN"/>
        </w:rPr>
        <w:t xml:space="preserve">   </w:t>
      </w:r>
      <w:r>
        <w:rPr>
          <w:rStyle w:val="18"/>
          <w:rFonts w:hint="eastAsia" w:cs="黑体" w:asciiTheme="minorEastAsia" w:hAnsiTheme="minorEastAsia"/>
          <w:b w:val="0"/>
          <w:spacing w:val="-28"/>
          <w:lang w:eastAsia="zh-CN"/>
        </w:rPr>
        <w:t>言</w:t>
      </w:r>
      <w:r>
        <w:rPr>
          <w:rFonts w:asciiTheme="minorEastAsia" w:hAnsiTheme="minorEastAsia"/>
          <w:b w:val="0"/>
        </w:rPr>
        <w:tab/>
      </w:r>
      <w:r>
        <w:rPr>
          <w:rFonts w:hint="eastAsia" w:asciiTheme="minorEastAsia" w:hAnsiTheme="minorEastAsia"/>
          <w:b w:val="0"/>
          <w:lang w:eastAsia="zh-CN"/>
        </w:rPr>
        <w:t>I</w:t>
      </w:r>
      <w:r>
        <w:rPr>
          <w:rFonts w:hint="eastAsia" w:asciiTheme="minorEastAsia" w:hAnsiTheme="minorEastAsia"/>
          <w:b w:val="0"/>
          <w:lang w:eastAsia="zh-CN"/>
        </w:rPr>
        <w:fldChar w:fldCharType="end"/>
      </w:r>
    </w:p>
    <w:p w14:paraId="0D16C533">
      <w:pPr>
        <w:pStyle w:val="11"/>
        <w:tabs>
          <w:tab w:val="right" w:leader="dot" w:pos="9736"/>
        </w:tabs>
        <w:rPr>
          <w:rFonts w:asciiTheme="minorEastAsia" w:hAnsiTheme="minorEastAsia" w:cstheme="minorBidi"/>
          <w:b w:val="0"/>
          <w:bCs w:val="0"/>
          <w:caps w:val="0"/>
          <w:snapToGrid/>
          <w:color w:val="auto"/>
          <w:kern w:val="2"/>
          <w:sz w:val="21"/>
          <w:szCs w:val="22"/>
          <w:lang w:eastAsia="zh-CN"/>
        </w:rPr>
      </w:pPr>
      <w:r>
        <w:fldChar w:fldCharType="begin"/>
      </w:r>
      <w:r>
        <w:instrText xml:space="preserve"> HYPERLINK \l "_Toc190246695" </w:instrText>
      </w:r>
      <w:r>
        <w:fldChar w:fldCharType="separate"/>
      </w:r>
      <w:r>
        <w:rPr>
          <w:rStyle w:val="18"/>
          <w:rFonts w:cs="黑体" w:asciiTheme="minorEastAsia" w:hAnsiTheme="minorEastAsia"/>
          <w:b w:val="0"/>
          <w:spacing w:val="-6"/>
          <w:lang w:eastAsia="zh-CN"/>
        </w:rPr>
        <w:t>1.</w:t>
      </w:r>
      <w:r>
        <w:rPr>
          <w:rStyle w:val="18"/>
          <w:rFonts w:hint="eastAsia" w:cs="黑体" w:asciiTheme="minorEastAsia" w:hAnsiTheme="minorEastAsia"/>
          <w:b w:val="0"/>
          <w:spacing w:val="-6"/>
          <w:lang w:eastAsia="zh-CN"/>
        </w:rPr>
        <w:t>范围</w:t>
      </w:r>
      <w:r>
        <w:rPr>
          <w:rFonts w:asciiTheme="minorEastAsia" w:hAnsiTheme="minorEastAsia"/>
          <w:b w:val="0"/>
        </w:rPr>
        <w:tab/>
      </w:r>
      <w:r>
        <w:rPr>
          <w:rFonts w:asciiTheme="minorEastAsia" w:hAnsiTheme="minorEastAsia"/>
          <w:b w:val="0"/>
        </w:rPr>
        <w:fldChar w:fldCharType="begin"/>
      </w:r>
      <w:r>
        <w:rPr>
          <w:rFonts w:asciiTheme="minorEastAsia" w:hAnsiTheme="minorEastAsia"/>
          <w:b w:val="0"/>
        </w:rPr>
        <w:instrText xml:space="preserve"> PAGEREF _Toc190246695 \h </w:instrText>
      </w:r>
      <w:r>
        <w:rPr>
          <w:rFonts w:asciiTheme="minorEastAsia" w:hAnsiTheme="minorEastAsia"/>
          <w:b w:val="0"/>
        </w:rPr>
        <w:fldChar w:fldCharType="separate"/>
      </w:r>
      <w:r>
        <w:rPr>
          <w:rFonts w:asciiTheme="minorEastAsia" w:hAnsiTheme="minorEastAsia"/>
          <w:b w:val="0"/>
        </w:rPr>
        <w:t>1</w:t>
      </w:r>
      <w:r>
        <w:rPr>
          <w:rFonts w:asciiTheme="minorEastAsia" w:hAnsiTheme="minorEastAsia"/>
          <w:b w:val="0"/>
        </w:rPr>
        <w:fldChar w:fldCharType="end"/>
      </w:r>
      <w:r>
        <w:rPr>
          <w:rFonts w:asciiTheme="minorEastAsia" w:hAnsiTheme="minorEastAsia"/>
          <w:b w:val="0"/>
        </w:rPr>
        <w:fldChar w:fldCharType="end"/>
      </w:r>
    </w:p>
    <w:p w14:paraId="50915E05">
      <w:pPr>
        <w:pStyle w:val="11"/>
        <w:tabs>
          <w:tab w:val="right" w:leader="dot" w:pos="9736"/>
        </w:tabs>
        <w:rPr>
          <w:rFonts w:asciiTheme="minorEastAsia" w:hAnsiTheme="minorEastAsia" w:cstheme="minorBidi"/>
          <w:b w:val="0"/>
          <w:bCs w:val="0"/>
          <w:caps w:val="0"/>
          <w:snapToGrid/>
          <w:color w:val="auto"/>
          <w:kern w:val="2"/>
          <w:sz w:val="21"/>
          <w:szCs w:val="22"/>
          <w:lang w:eastAsia="zh-CN"/>
        </w:rPr>
      </w:pPr>
      <w:r>
        <w:fldChar w:fldCharType="begin"/>
      </w:r>
      <w:r>
        <w:instrText xml:space="preserve"> HYPERLINK \l "_Toc190246696" </w:instrText>
      </w:r>
      <w:r>
        <w:fldChar w:fldCharType="separate"/>
      </w:r>
      <w:r>
        <w:rPr>
          <w:rStyle w:val="18"/>
          <w:rFonts w:cs="黑体" w:asciiTheme="minorEastAsia" w:hAnsiTheme="minorEastAsia"/>
          <w:b w:val="0"/>
          <w:spacing w:val="-6"/>
          <w:lang w:eastAsia="zh-CN"/>
        </w:rPr>
        <w:t>2.</w:t>
      </w:r>
      <w:r>
        <w:rPr>
          <w:rStyle w:val="18"/>
          <w:rFonts w:hint="eastAsia" w:cs="黑体" w:asciiTheme="minorEastAsia" w:hAnsiTheme="minorEastAsia"/>
          <w:b w:val="0"/>
          <w:spacing w:val="-6"/>
          <w:lang w:eastAsia="zh-CN"/>
        </w:rPr>
        <w:t>规范性引用文件</w:t>
      </w:r>
      <w:r>
        <w:rPr>
          <w:rFonts w:asciiTheme="minorEastAsia" w:hAnsiTheme="minorEastAsia"/>
          <w:b w:val="0"/>
        </w:rPr>
        <w:tab/>
      </w:r>
      <w:r>
        <w:rPr>
          <w:rFonts w:asciiTheme="minorEastAsia" w:hAnsiTheme="minorEastAsia"/>
          <w:b w:val="0"/>
        </w:rPr>
        <w:fldChar w:fldCharType="begin"/>
      </w:r>
      <w:r>
        <w:rPr>
          <w:rFonts w:asciiTheme="minorEastAsia" w:hAnsiTheme="minorEastAsia"/>
          <w:b w:val="0"/>
        </w:rPr>
        <w:instrText xml:space="preserve"> PAGEREF _Toc190246696 \h </w:instrText>
      </w:r>
      <w:r>
        <w:rPr>
          <w:rFonts w:asciiTheme="minorEastAsia" w:hAnsiTheme="minorEastAsia"/>
          <w:b w:val="0"/>
        </w:rPr>
        <w:fldChar w:fldCharType="separate"/>
      </w:r>
      <w:r>
        <w:rPr>
          <w:rFonts w:asciiTheme="minorEastAsia" w:hAnsiTheme="minorEastAsia"/>
          <w:b w:val="0"/>
        </w:rPr>
        <w:t>1</w:t>
      </w:r>
      <w:r>
        <w:rPr>
          <w:rFonts w:asciiTheme="minorEastAsia" w:hAnsiTheme="minorEastAsia"/>
          <w:b w:val="0"/>
        </w:rPr>
        <w:fldChar w:fldCharType="end"/>
      </w:r>
      <w:r>
        <w:rPr>
          <w:rFonts w:asciiTheme="minorEastAsia" w:hAnsiTheme="minorEastAsia"/>
          <w:b w:val="0"/>
        </w:rPr>
        <w:fldChar w:fldCharType="end"/>
      </w:r>
    </w:p>
    <w:p w14:paraId="5F202411">
      <w:pPr>
        <w:pStyle w:val="11"/>
        <w:tabs>
          <w:tab w:val="right" w:leader="dot" w:pos="9736"/>
        </w:tabs>
        <w:rPr>
          <w:rFonts w:asciiTheme="minorEastAsia" w:hAnsiTheme="minorEastAsia" w:cstheme="minorBidi"/>
          <w:b w:val="0"/>
          <w:bCs w:val="0"/>
          <w:caps w:val="0"/>
          <w:snapToGrid/>
          <w:color w:val="auto"/>
          <w:kern w:val="2"/>
          <w:sz w:val="21"/>
          <w:szCs w:val="22"/>
          <w:lang w:eastAsia="zh-CN"/>
        </w:rPr>
      </w:pPr>
      <w:r>
        <w:fldChar w:fldCharType="begin"/>
      </w:r>
      <w:r>
        <w:instrText xml:space="preserve"> HYPERLINK \l "_Toc190246697" </w:instrText>
      </w:r>
      <w:r>
        <w:fldChar w:fldCharType="separate"/>
      </w:r>
      <w:r>
        <w:rPr>
          <w:rStyle w:val="18"/>
          <w:rFonts w:cs="黑体" w:asciiTheme="minorEastAsia" w:hAnsiTheme="minorEastAsia"/>
          <w:b w:val="0"/>
          <w:spacing w:val="-6"/>
          <w:lang w:eastAsia="zh-CN"/>
        </w:rPr>
        <w:t>3.</w:t>
      </w:r>
      <w:r>
        <w:rPr>
          <w:rStyle w:val="18"/>
          <w:rFonts w:hint="eastAsia" w:cs="黑体" w:asciiTheme="minorEastAsia" w:hAnsiTheme="minorEastAsia"/>
          <w:b w:val="0"/>
          <w:spacing w:val="-6"/>
          <w:lang w:eastAsia="zh-CN"/>
        </w:rPr>
        <w:t>术语和定义</w:t>
      </w:r>
      <w:r>
        <w:rPr>
          <w:rFonts w:asciiTheme="minorEastAsia" w:hAnsiTheme="minorEastAsia"/>
          <w:b w:val="0"/>
        </w:rPr>
        <w:tab/>
      </w:r>
      <w:r>
        <w:rPr>
          <w:rFonts w:asciiTheme="minorEastAsia" w:hAnsiTheme="minorEastAsia"/>
          <w:b w:val="0"/>
        </w:rPr>
        <w:fldChar w:fldCharType="begin"/>
      </w:r>
      <w:r>
        <w:rPr>
          <w:rFonts w:asciiTheme="minorEastAsia" w:hAnsiTheme="minorEastAsia"/>
          <w:b w:val="0"/>
        </w:rPr>
        <w:instrText xml:space="preserve"> PAGEREF _Toc190246697 \h </w:instrText>
      </w:r>
      <w:r>
        <w:rPr>
          <w:rFonts w:asciiTheme="minorEastAsia" w:hAnsiTheme="minorEastAsia"/>
          <w:b w:val="0"/>
        </w:rPr>
        <w:fldChar w:fldCharType="separate"/>
      </w:r>
      <w:r>
        <w:rPr>
          <w:rFonts w:asciiTheme="minorEastAsia" w:hAnsiTheme="minorEastAsia"/>
          <w:b w:val="0"/>
        </w:rPr>
        <w:t>1</w:t>
      </w:r>
      <w:r>
        <w:rPr>
          <w:rFonts w:asciiTheme="minorEastAsia" w:hAnsiTheme="minorEastAsia"/>
          <w:b w:val="0"/>
        </w:rPr>
        <w:fldChar w:fldCharType="end"/>
      </w:r>
      <w:r>
        <w:rPr>
          <w:rFonts w:asciiTheme="minorEastAsia" w:hAnsiTheme="minorEastAsia"/>
          <w:b w:val="0"/>
        </w:rPr>
        <w:fldChar w:fldCharType="end"/>
      </w:r>
    </w:p>
    <w:p w14:paraId="0BF129C2">
      <w:pPr>
        <w:pStyle w:val="11"/>
        <w:tabs>
          <w:tab w:val="right" w:leader="dot" w:pos="9736"/>
        </w:tabs>
        <w:rPr>
          <w:rFonts w:asciiTheme="minorEastAsia" w:hAnsiTheme="minorEastAsia" w:cstheme="minorBidi"/>
          <w:b w:val="0"/>
          <w:bCs w:val="0"/>
          <w:caps w:val="0"/>
          <w:snapToGrid/>
          <w:color w:val="auto"/>
          <w:kern w:val="2"/>
          <w:sz w:val="21"/>
          <w:szCs w:val="22"/>
          <w:lang w:eastAsia="zh-CN"/>
        </w:rPr>
      </w:pPr>
      <w:r>
        <w:fldChar w:fldCharType="begin"/>
      </w:r>
      <w:r>
        <w:instrText xml:space="preserve"> HYPERLINK \l "_Toc190246698" </w:instrText>
      </w:r>
      <w:r>
        <w:fldChar w:fldCharType="separate"/>
      </w:r>
      <w:r>
        <w:rPr>
          <w:rStyle w:val="18"/>
          <w:rFonts w:cs="黑体" w:asciiTheme="minorEastAsia" w:hAnsiTheme="minorEastAsia"/>
          <w:b w:val="0"/>
          <w:spacing w:val="-6"/>
          <w:lang w:eastAsia="zh-CN"/>
        </w:rPr>
        <w:t>4.</w:t>
      </w:r>
      <w:r>
        <w:rPr>
          <w:rStyle w:val="18"/>
          <w:rFonts w:hint="eastAsia" w:cs="黑体" w:asciiTheme="minorEastAsia" w:hAnsiTheme="minorEastAsia"/>
          <w:b w:val="0"/>
          <w:spacing w:val="-6"/>
          <w:lang w:eastAsia="zh-CN"/>
        </w:rPr>
        <w:t>通用要求</w:t>
      </w:r>
      <w:r>
        <w:rPr>
          <w:rFonts w:asciiTheme="minorEastAsia" w:hAnsiTheme="minorEastAsia"/>
          <w:b w:val="0"/>
        </w:rPr>
        <w:tab/>
      </w:r>
      <w:r>
        <w:rPr>
          <w:rFonts w:asciiTheme="minorEastAsia" w:hAnsiTheme="minorEastAsia"/>
          <w:b w:val="0"/>
        </w:rPr>
        <w:fldChar w:fldCharType="begin"/>
      </w:r>
      <w:r>
        <w:rPr>
          <w:rFonts w:asciiTheme="minorEastAsia" w:hAnsiTheme="minorEastAsia"/>
          <w:b w:val="0"/>
        </w:rPr>
        <w:instrText xml:space="preserve"> PAGEREF _Toc190246698 \h </w:instrText>
      </w:r>
      <w:r>
        <w:rPr>
          <w:rFonts w:asciiTheme="minorEastAsia" w:hAnsiTheme="minorEastAsia"/>
          <w:b w:val="0"/>
        </w:rPr>
        <w:fldChar w:fldCharType="separate"/>
      </w:r>
      <w:r>
        <w:rPr>
          <w:rFonts w:asciiTheme="minorEastAsia" w:hAnsiTheme="minorEastAsia"/>
          <w:b w:val="0"/>
        </w:rPr>
        <w:t>2</w:t>
      </w:r>
      <w:r>
        <w:rPr>
          <w:rFonts w:asciiTheme="minorEastAsia" w:hAnsiTheme="minorEastAsia"/>
          <w:b w:val="0"/>
        </w:rPr>
        <w:fldChar w:fldCharType="end"/>
      </w:r>
      <w:r>
        <w:rPr>
          <w:rFonts w:asciiTheme="minorEastAsia" w:hAnsiTheme="minorEastAsia"/>
          <w:b w:val="0"/>
        </w:rPr>
        <w:fldChar w:fldCharType="end"/>
      </w:r>
    </w:p>
    <w:p w14:paraId="27EF4532">
      <w:pPr>
        <w:pStyle w:val="11"/>
        <w:tabs>
          <w:tab w:val="right" w:leader="dot" w:pos="9736"/>
        </w:tabs>
        <w:rPr>
          <w:rFonts w:asciiTheme="minorEastAsia" w:hAnsiTheme="minorEastAsia" w:cstheme="minorBidi"/>
          <w:b w:val="0"/>
          <w:bCs w:val="0"/>
          <w:caps w:val="0"/>
          <w:snapToGrid/>
          <w:color w:val="auto"/>
          <w:kern w:val="2"/>
          <w:sz w:val="21"/>
          <w:szCs w:val="22"/>
          <w:lang w:eastAsia="zh-CN"/>
        </w:rPr>
      </w:pPr>
      <w:r>
        <w:fldChar w:fldCharType="begin"/>
      </w:r>
      <w:r>
        <w:instrText xml:space="preserve"> HYPERLINK \l "_Toc190246699" </w:instrText>
      </w:r>
      <w:r>
        <w:fldChar w:fldCharType="separate"/>
      </w:r>
      <w:r>
        <w:rPr>
          <w:rStyle w:val="18"/>
          <w:rFonts w:cs="黑体" w:asciiTheme="minorEastAsia" w:hAnsiTheme="minorEastAsia"/>
          <w:b w:val="0"/>
          <w:spacing w:val="-6"/>
          <w:lang w:eastAsia="zh-CN"/>
        </w:rPr>
        <w:t>5.</w:t>
      </w:r>
      <w:r>
        <w:rPr>
          <w:rStyle w:val="18"/>
          <w:rFonts w:hint="eastAsia" w:cs="黑体" w:asciiTheme="minorEastAsia" w:hAnsiTheme="minorEastAsia"/>
          <w:b w:val="0"/>
          <w:spacing w:val="-6"/>
          <w:lang w:eastAsia="zh-CN"/>
        </w:rPr>
        <w:t>组织架构</w:t>
      </w:r>
      <w:r>
        <w:rPr>
          <w:rFonts w:asciiTheme="minorEastAsia" w:hAnsiTheme="minorEastAsia"/>
          <w:b w:val="0"/>
        </w:rPr>
        <w:tab/>
      </w:r>
      <w:r>
        <w:rPr>
          <w:rFonts w:asciiTheme="minorEastAsia" w:hAnsiTheme="minorEastAsia"/>
          <w:b w:val="0"/>
        </w:rPr>
        <w:fldChar w:fldCharType="begin"/>
      </w:r>
      <w:r>
        <w:rPr>
          <w:rFonts w:asciiTheme="minorEastAsia" w:hAnsiTheme="minorEastAsia"/>
          <w:b w:val="0"/>
        </w:rPr>
        <w:instrText xml:space="preserve"> PAGEREF _Toc190246699 \h </w:instrText>
      </w:r>
      <w:r>
        <w:rPr>
          <w:rFonts w:asciiTheme="minorEastAsia" w:hAnsiTheme="minorEastAsia"/>
          <w:b w:val="0"/>
        </w:rPr>
        <w:fldChar w:fldCharType="separate"/>
      </w:r>
      <w:r>
        <w:rPr>
          <w:rFonts w:asciiTheme="minorEastAsia" w:hAnsiTheme="minorEastAsia"/>
          <w:b w:val="0"/>
        </w:rPr>
        <w:t>2</w:t>
      </w:r>
      <w:r>
        <w:rPr>
          <w:rFonts w:asciiTheme="minorEastAsia" w:hAnsiTheme="minorEastAsia"/>
          <w:b w:val="0"/>
        </w:rPr>
        <w:fldChar w:fldCharType="end"/>
      </w:r>
      <w:r>
        <w:rPr>
          <w:rFonts w:asciiTheme="minorEastAsia" w:hAnsiTheme="minorEastAsia"/>
          <w:b w:val="0"/>
        </w:rPr>
        <w:fldChar w:fldCharType="end"/>
      </w:r>
    </w:p>
    <w:p w14:paraId="7F553B2F">
      <w:pPr>
        <w:pStyle w:val="11"/>
        <w:tabs>
          <w:tab w:val="right" w:leader="dot" w:pos="9736"/>
        </w:tabs>
        <w:rPr>
          <w:rFonts w:asciiTheme="minorEastAsia" w:hAnsiTheme="minorEastAsia" w:cstheme="minorBidi"/>
          <w:b w:val="0"/>
          <w:bCs w:val="0"/>
          <w:caps w:val="0"/>
          <w:snapToGrid/>
          <w:color w:val="auto"/>
          <w:kern w:val="2"/>
          <w:sz w:val="21"/>
          <w:szCs w:val="22"/>
          <w:lang w:eastAsia="zh-CN"/>
        </w:rPr>
      </w:pPr>
      <w:r>
        <w:fldChar w:fldCharType="begin"/>
      </w:r>
      <w:r>
        <w:instrText xml:space="preserve"> HYPERLINK \l "_Toc190246700" </w:instrText>
      </w:r>
      <w:r>
        <w:fldChar w:fldCharType="separate"/>
      </w:r>
      <w:r>
        <w:rPr>
          <w:rStyle w:val="18"/>
          <w:rFonts w:cs="黑体" w:asciiTheme="minorEastAsia" w:hAnsiTheme="minorEastAsia"/>
          <w:b w:val="0"/>
          <w:spacing w:val="-6"/>
          <w:lang w:eastAsia="zh-CN"/>
        </w:rPr>
        <w:t>6.</w:t>
      </w:r>
      <w:r>
        <w:rPr>
          <w:rStyle w:val="18"/>
          <w:rFonts w:hint="eastAsia" w:cs="黑体" w:asciiTheme="minorEastAsia" w:hAnsiTheme="minorEastAsia"/>
          <w:b w:val="0"/>
          <w:spacing w:val="-6"/>
          <w:lang w:eastAsia="zh-CN"/>
        </w:rPr>
        <w:t>资源配备</w:t>
      </w:r>
      <w:r>
        <w:rPr>
          <w:rFonts w:asciiTheme="minorEastAsia" w:hAnsiTheme="minorEastAsia"/>
          <w:b w:val="0"/>
        </w:rPr>
        <w:tab/>
      </w:r>
      <w:r>
        <w:rPr>
          <w:rFonts w:asciiTheme="minorEastAsia" w:hAnsiTheme="minorEastAsia"/>
          <w:b w:val="0"/>
        </w:rPr>
        <w:fldChar w:fldCharType="begin"/>
      </w:r>
      <w:r>
        <w:rPr>
          <w:rFonts w:asciiTheme="minorEastAsia" w:hAnsiTheme="minorEastAsia"/>
          <w:b w:val="0"/>
        </w:rPr>
        <w:instrText xml:space="preserve"> PAGEREF _Toc190246700 \h </w:instrText>
      </w:r>
      <w:r>
        <w:rPr>
          <w:rFonts w:asciiTheme="minorEastAsia" w:hAnsiTheme="minorEastAsia"/>
          <w:b w:val="0"/>
        </w:rPr>
        <w:fldChar w:fldCharType="separate"/>
      </w:r>
      <w:r>
        <w:rPr>
          <w:rFonts w:asciiTheme="minorEastAsia" w:hAnsiTheme="minorEastAsia"/>
          <w:b w:val="0"/>
        </w:rPr>
        <w:t>2</w:t>
      </w:r>
      <w:r>
        <w:rPr>
          <w:rFonts w:asciiTheme="minorEastAsia" w:hAnsiTheme="minorEastAsia"/>
          <w:b w:val="0"/>
        </w:rPr>
        <w:fldChar w:fldCharType="end"/>
      </w:r>
      <w:r>
        <w:rPr>
          <w:rFonts w:asciiTheme="minorEastAsia" w:hAnsiTheme="minorEastAsia"/>
          <w:b w:val="0"/>
        </w:rPr>
        <w:fldChar w:fldCharType="end"/>
      </w:r>
    </w:p>
    <w:p w14:paraId="60FFDB80">
      <w:pPr>
        <w:pStyle w:val="11"/>
        <w:tabs>
          <w:tab w:val="right" w:leader="dot" w:pos="9736"/>
        </w:tabs>
      </w:pPr>
      <w:r>
        <w:fldChar w:fldCharType="begin"/>
      </w:r>
      <w:r>
        <w:instrText xml:space="preserve"> HYPERLINK \l "_Toc190246701" </w:instrText>
      </w:r>
      <w:r>
        <w:fldChar w:fldCharType="separate"/>
      </w:r>
      <w:r>
        <w:rPr>
          <w:rStyle w:val="18"/>
          <w:rFonts w:cs="黑体" w:asciiTheme="minorEastAsia" w:hAnsiTheme="minorEastAsia"/>
          <w:b w:val="0"/>
          <w:spacing w:val="-6"/>
          <w:lang w:eastAsia="zh-CN"/>
        </w:rPr>
        <w:t>7.</w:t>
      </w:r>
      <w:r>
        <w:rPr>
          <w:rStyle w:val="18"/>
          <w:rFonts w:hint="eastAsia" w:cs="黑体" w:asciiTheme="minorEastAsia" w:hAnsiTheme="minorEastAsia"/>
          <w:b w:val="0"/>
          <w:spacing w:val="-6"/>
          <w:lang w:eastAsia="zh-CN"/>
        </w:rPr>
        <w:t>数据要求</w:t>
      </w:r>
      <w:r>
        <w:rPr>
          <w:rFonts w:asciiTheme="minorEastAsia" w:hAnsiTheme="minorEastAsia"/>
          <w:b w:val="0"/>
        </w:rPr>
        <w:tab/>
      </w:r>
      <w:r>
        <w:rPr>
          <w:rFonts w:asciiTheme="minorEastAsia" w:hAnsiTheme="minorEastAsia"/>
          <w:b w:val="0"/>
        </w:rPr>
        <w:fldChar w:fldCharType="begin"/>
      </w:r>
      <w:r>
        <w:rPr>
          <w:rFonts w:asciiTheme="minorEastAsia" w:hAnsiTheme="minorEastAsia"/>
          <w:b w:val="0"/>
        </w:rPr>
        <w:instrText xml:space="preserve"> PAGEREF _Toc190246701 \h </w:instrText>
      </w:r>
      <w:r>
        <w:rPr>
          <w:rFonts w:asciiTheme="minorEastAsia" w:hAnsiTheme="minorEastAsia"/>
          <w:b w:val="0"/>
        </w:rPr>
        <w:fldChar w:fldCharType="separate"/>
      </w:r>
      <w:r>
        <w:rPr>
          <w:rFonts w:asciiTheme="minorEastAsia" w:hAnsiTheme="minorEastAsia"/>
          <w:b w:val="0"/>
        </w:rPr>
        <w:t>4</w:t>
      </w:r>
      <w:r>
        <w:rPr>
          <w:rFonts w:asciiTheme="minorEastAsia" w:hAnsiTheme="minorEastAsia"/>
          <w:b w:val="0"/>
        </w:rPr>
        <w:fldChar w:fldCharType="end"/>
      </w:r>
      <w:r>
        <w:rPr>
          <w:rFonts w:asciiTheme="minorEastAsia" w:hAnsiTheme="minorEastAsia"/>
          <w:b w:val="0"/>
        </w:rPr>
        <w:fldChar w:fldCharType="end"/>
      </w:r>
    </w:p>
    <w:p w14:paraId="075DA0F0">
      <w:pPr>
        <w:pStyle w:val="11"/>
        <w:tabs>
          <w:tab w:val="right" w:leader="dot" w:pos="9736"/>
        </w:tabs>
      </w:pPr>
      <w:r>
        <w:fldChar w:fldCharType="begin"/>
      </w:r>
      <w:r>
        <w:instrText xml:space="preserve"> HYPERLINK \l "_Toc190246702" </w:instrText>
      </w:r>
      <w:r>
        <w:fldChar w:fldCharType="separate"/>
      </w:r>
      <w:r>
        <w:rPr>
          <w:rStyle w:val="18"/>
          <w:rFonts w:cs="黑体" w:asciiTheme="minorEastAsia" w:hAnsiTheme="minorEastAsia"/>
          <w:b w:val="0"/>
          <w:spacing w:val="-6"/>
          <w:lang w:eastAsia="zh-CN"/>
        </w:rPr>
        <w:t>8.</w:t>
      </w:r>
      <w:r>
        <w:rPr>
          <w:rStyle w:val="18"/>
          <w:rFonts w:hint="eastAsia" w:cs="黑体" w:asciiTheme="minorEastAsia" w:hAnsiTheme="minorEastAsia"/>
          <w:b w:val="0"/>
          <w:spacing w:val="-6"/>
          <w:lang w:eastAsia="zh-CN"/>
        </w:rPr>
        <w:t>管理体系</w:t>
      </w:r>
      <w:r>
        <w:rPr>
          <w:rFonts w:asciiTheme="minorEastAsia" w:hAnsiTheme="minorEastAsia"/>
          <w:b w:val="0"/>
        </w:rPr>
        <w:tab/>
      </w:r>
      <w:r>
        <w:rPr>
          <w:rFonts w:asciiTheme="minorEastAsia" w:hAnsiTheme="minorEastAsia"/>
          <w:b w:val="0"/>
        </w:rPr>
        <w:fldChar w:fldCharType="begin"/>
      </w:r>
      <w:r>
        <w:rPr>
          <w:rFonts w:asciiTheme="minorEastAsia" w:hAnsiTheme="minorEastAsia"/>
          <w:b w:val="0"/>
        </w:rPr>
        <w:instrText xml:space="preserve"> PAGEREF _Toc190246702 \h </w:instrText>
      </w:r>
      <w:r>
        <w:rPr>
          <w:rFonts w:asciiTheme="minorEastAsia" w:hAnsiTheme="minorEastAsia"/>
          <w:b w:val="0"/>
        </w:rPr>
        <w:fldChar w:fldCharType="separate"/>
      </w:r>
      <w:r>
        <w:rPr>
          <w:rFonts w:asciiTheme="minorEastAsia" w:hAnsiTheme="minorEastAsia"/>
          <w:b w:val="0"/>
        </w:rPr>
        <w:t>5</w:t>
      </w:r>
      <w:r>
        <w:rPr>
          <w:rFonts w:asciiTheme="minorEastAsia" w:hAnsiTheme="minorEastAsia"/>
          <w:b w:val="0"/>
        </w:rPr>
        <w:fldChar w:fldCharType="end"/>
      </w:r>
      <w:r>
        <w:rPr>
          <w:rFonts w:asciiTheme="minorEastAsia" w:hAnsiTheme="minorEastAsia"/>
          <w:b w:val="0"/>
        </w:rPr>
        <w:fldChar w:fldCharType="end"/>
      </w:r>
    </w:p>
    <w:p w14:paraId="3B4C726B">
      <w:pPr>
        <w:pStyle w:val="11"/>
        <w:tabs>
          <w:tab w:val="right" w:leader="dot" w:pos="9736"/>
        </w:tabs>
      </w:pPr>
      <w:r>
        <w:fldChar w:fldCharType="begin"/>
      </w:r>
      <w:r>
        <w:instrText xml:space="preserve"> HYPERLINK \l "_Toc190246702" </w:instrText>
      </w:r>
      <w:r>
        <w:fldChar w:fldCharType="separate"/>
      </w:r>
      <w:r>
        <w:rPr>
          <w:rStyle w:val="18"/>
          <w:rFonts w:hint="eastAsia" w:cs="黑体" w:asciiTheme="minorEastAsia" w:hAnsiTheme="minorEastAsia"/>
          <w:b w:val="0"/>
          <w:spacing w:val="-6"/>
          <w:lang w:eastAsia="zh-CN"/>
        </w:rPr>
        <w:t>附件</w:t>
      </w:r>
      <w:r>
        <w:rPr>
          <w:rFonts w:asciiTheme="minorEastAsia" w:hAnsiTheme="minorEastAsia"/>
          <w:b w:val="0"/>
        </w:rPr>
        <w:tab/>
      </w:r>
      <w:r>
        <w:rPr>
          <w:rFonts w:hint="eastAsia" w:asciiTheme="minorEastAsia" w:hAnsiTheme="minorEastAsia"/>
          <w:b w:val="0"/>
          <w:lang w:eastAsia="zh-CN"/>
        </w:rPr>
        <w:t>7</w:t>
      </w:r>
      <w:r>
        <w:rPr>
          <w:rFonts w:hint="eastAsia" w:asciiTheme="minorEastAsia" w:hAnsiTheme="minorEastAsia"/>
          <w:b w:val="0"/>
          <w:lang w:eastAsia="zh-CN"/>
        </w:rPr>
        <w:fldChar w:fldCharType="end"/>
      </w:r>
    </w:p>
    <w:p w14:paraId="6DA98207">
      <w:pPr>
        <w:rPr>
          <w:lang w:eastAsia="zh-CN"/>
        </w:rPr>
      </w:pPr>
    </w:p>
    <w:p w14:paraId="697FA1B8">
      <w:pPr>
        <w:spacing w:line="219" w:lineRule="auto"/>
        <w:rPr>
          <w:rFonts w:ascii="宋体" w:hAnsi="宋体" w:eastAsia="宋体" w:cs="宋体"/>
          <w:sz w:val="24"/>
          <w:szCs w:val="24"/>
          <w:lang w:eastAsia="zh-CN"/>
        </w:rPr>
        <w:sectPr>
          <w:pgSz w:w="11906" w:h="16839"/>
          <w:pgMar w:top="1440" w:right="1080" w:bottom="1440" w:left="1080" w:header="851" w:footer="407" w:gutter="0"/>
          <w:pgNumType w:start="0"/>
          <w:cols w:space="720" w:num="1"/>
          <w:titlePg/>
          <w:docGrid w:linePitch="286" w:charSpace="0"/>
        </w:sectPr>
      </w:pPr>
      <w:r>
        <w:rPr>
          <w:rFonts w:cs="宋体" w:asciiTheme="minorEastAsia" w:hAnsiTheme="minorEastAsia"/>
          <w:sz w:val="24"/>
          <w:szCs w:val="24"/>
          <w:lang w:eastAsia="zh-CN"/>
        </w:rPr>
        <w:fldChar w:fldCharType="end"/>
      </w:r>
    </w:p>
    <w:p w14:paraId="376EA63A">
      <w:pPr>
        <w:pStyle w:val="3"/>
        <w:spacing w:line="321" w:lineRule="auto"/>
        <w:rPr>
          <w:lang w:eastAsia="zh-CN"/>
        </w:rPr>
      </w:pPr>
    </w:p>
    <w:p w14:paraId="25BC981A">
      <w:pPr>
        <w:pStyle w:val="3"/>
        <w:spacing w:line="321" w:lineRule="auto"/>
        <w:rPr>
          <w:lang w:eastAsia="zh-CN"/>
        </w:rPr>
      </w:pPr>
    </w:p>
    <w:p w14:paraId="2D47403A">
      <w:pPr>
        <w:spacing w:before="140" w:line="227" w:lineRule="auto"/>
        <w:ind w:left="3958"/>
        <w:outlineLvl w:val="0"/>
        <w:rPr>
          <w:rFonts w:ascii="黑体" w:hAnsi="黑体" w:eastAsia="黑体" w:cs="黑体"/>
          <w:sz w:val="43"/>
          <w:szCs w:val="43"/>
          <w:lang w:eastAsia="zh-CN"/>
        </w:rPr>
      </w:pPr>
      <w:bookmarkStart w:id="3" w:name="bookmark2"/>
      <w:bookmarkEnd w:id="3"/>
      <w:bookmarkStart w:id="4" w:name="_Toc190246694"/>
      <w:r>
        <w:rPr>
          <w:rFonts w:ascii="黑体" w:hAnsi="黑体" w:eastAsia="黑体" w:cs="黑体"/>
          <w:b/>
          <w:bCs/>
          <w:spacing w:val="-28"/>
          <w:sz w:val="43"/>
          <w:szCs w:val="43"/>
          <w:lang w:eastAsia="zh-CN"/>
        </w:rPr>
        <w:t>引</w:t>
      </w:r>
      <w:r>
        <w:rPr>
          <w:rFonts w:ascii="黑体" w:hAnsi="黑体" w:eastAsia="黑体" w:cs="黑体"/>
          <w:spacing w:val="18"/>
          <w:sz w:val="43"/>
          <w:szCs w:val="43"/>
          <w:lang w:eastAsia="zh-CN"/>
        </w:rPr>
        <w:t xml:space="preserve">   </w:t>
      </w:r>
      <w:r>
        <w:rPr>
          <w:rFonts w:ascii="黑体" w:hAnsi="黑体" w:eastAsia="黑体" w:cs="黑体"/>
          <w:b/>
          <w:bCs/>
          <w:spacing w:val="-28"/>
          <w:sz w:val="43"/>
          <w:szCs w:val="43"/>
          <w:lang w:eastAsia="zh-CN"/>
        </w:rPr>
        <w:t>言</w:t>
      </w:r>
      <w:bookmarkEnd w:id="4"/>
    </w:p>
    <w:p w14:paraId="389B48AC">
      <w:pPr>
        <w:spacing w:before="117" w:line="360" w:lineRule="auto"/>
        <w:rPr>
          <w:rFonts w:ascii="宋体" w:hAnsi="宋体" w:eastAsia="宋体" w:cs="宋体"/>
          <w:spacing w:val="-23"/>
          <w:sz w:val="24"/>
          <w:szCs w:val="24"/>
          <w:lang w:eastAsia="zh-CN"/>
        </w:rPr>
      </w:pPr>
    </w:p>
    <w:p w14:paraId="1956FCB8">
      <w:pPr>
        <w:spacing w:before="117" w:line="360" w:lineRule="auto"/>
        <w:ind w:left="11" w:firstLine="388" w:firstLineChars="200"/>
        <w:rPr>
          <w:rFonts w:ascii="宋体" w:hAnsi="宋体" w:eastAsia="宋体" w:cs="宋体"/>
          <w:sz w:val="24"/>
          <w:szCs w:val="24"/>
          <w:lang w:eastAsia="zh-CN"/>
        </w:rPr>
      </w:pPr>
      <w:r>
        <w:rPr>
          <w:rFonts w:ascii="宋体" w:hAnsi="宋体" w:eastAsia="宋体" w:cs="宋体"/>
          <w:spacing w:val="-23"/>
          <w:sz w:val="24"/>
          <w:szCs w:val="24"/>
          <w:lang w:eastAsia="zh-CN"/>
        </w:rPr>
        <w:t>本规</w:t>
      </w:r>
      <w:r>
        <w:rPr>
          <w:rFonts w:ascii="宋体" w:hAnsi="宋体" w:eastAsia="宋体" w:cs="宋体"/>
          <w:spacing w:val="-22"/>
          <w:sz w:val="24"/>
          <w:szCs w:val="24"/>
          <w:lang w:eastAsia="zh-CN"/>
        </w:rPr>
        <w:t>范参考《中华人民共和国计量法》《能源计量监督管理</w:t>
      </w:r>
      <w:r>
        <w:rPr>
          <w:rFonts w:ascii="宋体" w:hAnsi="宋体" w:eastAsia="宋体" w:cs="宋体"/>
          <w:spacing w:val="-23"/>
          <w:sz w:val="24"/>
          <w:szCs w:val="24"/>
          <w:lang w:eastAsia="zh-CN"/>
        </w:rPr>
        <w:t>办法》《重点用能单位能源计量</w:t>
      </w:r>
      <w:r>
        <w:rPr>
          <w:rFonts w:ascii="宋体" w:hAnsi="宋体" w:eastAsia="宋体" w:cs="宋体"/>
          <w:spacing w:val="-21"/>
          <w:sz w:val="24"/>
          <w:szCs w:val="24"/>
          <w:lang w:eastAsia="zh-CN"/>
        </w:rPr>
        <w:t>审</w:t>
      </w:r>
      <w:r>
        <w:rPr>
          <w:rFonts w:ascii="宋体" w:hAnsi="宋体" w:eastAsia="宋体" w:cs="宋体"/>
          <w:spacing w:val="-19"/>
          <w:sz w:val="24"/>
          <w:szCs w:val="24"/>
          <w:lang w:eastAsia="zh-CN"/>
        </w:rPr>
        <w:t>查规范》有关内容，制定《零碳产业园</w:t>
      </w:r>
      <w:r>
        <w:rPr>
          <w:rFonts w:hint="eastAsia" w:ascii="宋体" w:hAnsi="宋体" w:eastAsia="宋体" w:cs="宋体"/>
          <w:spacing w:val="-19"/>
          <w:sz w:val="24"/>
          <w:szCs w:val="24"/>
          <w:lang w:eastAsia="zh-CN"/>
        </w:rPr>
        <w:t>碳</w:t>
      </w:r>
      <w:r>
        <w:rPr>
          <w:rFonts w:ascii="宋体" w:hAnsi="宋体" w:eastAsia="宋体" w:cs="宋体"/>
          <w:spacing w:val="-19"/>
          <w:sz w:val="24"/>
          <w:szCs w:val="24"/>
          <w:lang w:eastAsia="zh-CN"/>
        </w:rPr>
        <w:t>计量</w:t>
      </w:r>
      <w:r>
        <w:rPr>
          <w:rFonts w:hint="eastAsia" w:ascii="宋体" w:hAnsi="宋体" w:eastAsia="宋体" w:cs="宋体"/>
          <w:spacing w:val="-19"/>
          <w:sz w:val="24"/>
          <w:szCs w:val="24"/>
          <w:lang w:eastAsia="zh-CN"/>
        </w:rPr>
        <w:t>体系建设指南</w:t>
      </w:r>
      <w:r>
        <w:rPr>
          <w:rFonts w:ascii="宋体" w:hAnsi="宋体" w:eastAsia="宋体" w:cs="宋体"/>
          <w:spacing w:val="-19"/>
          <w:sz w:val="24"/>
          <w:szCs w:val="24"/>
          <w:lang w:eastAsia="zh-CN"/>
        </w:rPr>
        <w:t>》。</w:t>
      </w:r>
    </w:p>
    <w:p w14:paraId="10E72B50">
      <w:pPr>
        <w:spacing w:before="35" w:line="360" w:lineRule="auto"/>
        <w:ind w:left="7" w:firstLine="388" w:firstLineChars="200"/>
        <w:rPr>
          <w:rFonts w:ascii="宋体" w:hAnsi="宋体" w:eastAsia="宋体" w:cs="宋体"/>
          <w:sz w:val="24"/>
          <w:szCs w:val="24"/>
          <w:lang w:eastAsia="zh-CN"/>
        </w:rPr>
      </w:pPr>
      <w:r>
        <w:rPr>
          <w:rFonts w:ascii="宋体" w:hAnsi="宋体" w:eastAsia="宋体" w:cs="宋体"/>
          <w:spacing w:val="-23"/>
          <w:sz w:val="24"/>
          <w:szCs w:val="24"/>
          <w:lang w:eastAsia="zh-CN"/>
        </w:rPr>
        <w:t>本规范</w:t>
      </w:r>
      <w:r>
        <w:rPr>
          <w:rFonts w:ascii="宋体" w:hAnsi="宋体" w:eastAsia="宋体" w:cs="宋体"/>
          <w:spacing w:val="-22"/>
          <w:sz w:val="24"/>
          <w:szCs w:val="24"/>
          <w:lang w:eastAsia="zh-CN"/>
        </w:rPr>
        <w:t>对</w:t>
      </w:r>
      <w:r>
        <w:rPr>
          <w:rFonts w:hint="eastAsia" w:ascii="宋体" w:hAnsi="宋体" w:eastAsia="宋体" w:cs="宋体"/>
          <w:spacing w:val="-22"/>
          <w:sz w:val="24"/>
          <w:szCs w:val="24"/>
          <w:lang w:eastAsia="zh-CN"/>
        </w:rPr>
        <w:t>安徽省</w:t>
      </w:r>
      <w:r>
        <w:rPr>
          <w:rFonts w:ascii="宋体" w:hAnsi="宋体" w:eastAsia="宋体" w:cs="宋体"/>
          <w:spacing w:val="-22"/>
          <w:sz w:val="24"/>
          <w:szCs w:val="24"/>
          <w:lang w:eastAsia="zh-CN"/>
        </w:rPr>
        <w:t>零碳产业园中</w:t>
      </w:r>
      <w:r>
        <w:rPr>
          <w:rFonts w:hint="eastAsia" w:ascii="宋体" w:hAnsi="宋体" w:eastAsia="宋体" w:cs="宋体"/>
          <w:spacing w:val="-22"/>
          <w:sz w:val="24"/>
          <w:szCs w:val="24"/>
          <w:lang w:eastAsia="zh-CN"/>
        </w:rPr>
        <w:t>碳</w:t>
      </w:r>
      <w:r>
        <w:rPr>
          <w:rFonts w:ascii="宋体" w:hAnsi="宋体" w:eastAsia="宋体" w:cs="宋体"/>
          <w:spacing w:val="-22"/>
          <w:sz w:val="24"/>
          <w:szCs w:val="24"/>
          <w:lang w:eastAsia="zh-CN"/>
        </w:rPr>
        <w:t>计量活动制定了要求和原</w:t>
      </w:r>
      <w:r>
        <w:rPr>
          <w:rFonts w:ascii="宋体" w:hAnsi="宋体" w:eastAsia="宋体" w:cs="宋体"/>
          <w:spacing w:val="-23"/>
          <w:sz w:val="24"/>
          <w:szCs w:val="24"/>
          <w:lang w:eastAsia="zh-CN"/>
        </w:rPr>
        <w:t>则，明确了零碳产业园碳排放计量</w:t>
      </w:r>
      <w:r>
        <w:rPr>
          <w:rFonts w:ascii="宋体" w:hAnsi="宋体" w:eastAsia="宋体" w:cs="宋体"/>
          <w:spacing w:val="-22"/>
          <w:sz w:val="24"/>
          <w:szCs w:val="24"/>
          <w:lang w:eastAsia="zh-CN"/>
        </w:rPr>
        <w:t>组织</w:t>
      </w:r>
      <w:r>
        <w:rPr>
          <w:rFonts w:hint="eastAsia" w:ascii="宋体" w:hAnsi="宋体" w:eastAsia="宋体" w:cs="宋体"/>
          <w:spacing w:val="-22"/>
          <w:sz w:val="24"/>
          <w:szCs w:val="24"/>
          <w:lang w:eastAsia="zh-CN"/>
        </w:rPr>
        <w:t>架构</w:t>
      </w:r>
      <w:r>
        <w:rPr>
          <w:rFonts w:ascii="宋体" w:hAnsi="宋体" w:eastAsia="宋体" w:cs="宋体"/>
          <w:spacing w:val="-22"/>
          <w:sz w:val="24"/>
          <w:szCs w:val="24"/>
          <w:lang w:eastAsia="zh-CN"/>
        </w:rPr>
        <w:t>、</w:t>
      </w:r>
      <w:r>
        <w:rPr>
          <w:rFonts w:hint="eastAsia" w:ascii="宋体" w:hAnsi="宋体" w:eastAsia="宋体" w:cs="宋体"/>
          <w:spacing w:val="-22"/>
          <w:sz w:val="24"/>
          <w:szCs w:val="24"/>
          <w:lang w:eastAsia="zh-CN"/>
        </w:rPr>
        <w:t>碳</w:t>
      </w:r>
      <w:r>
        <w:rPr>
          <w:rFonts w:ascii="宋体" w:hAnsi="宋体" w:eastAsia="宋体" w:cs="宋体"/>
          <w:spacing w:val="-22"/>
          <w:sz w:val="24"/>
          <w:szCs w:val="24"/>
          <w:lang w:eastAsia="zh-CN"/>
        </w:rPr>
        <w:t>计量</w:t>
      </w:r>
      <w:r>
        <w:rPr>
          <w:rFonts w:hint="eastAsia" w:ascii="宋体" w:hAnsi="宋体" w:eastAsia="宋体" w:cs="宋体"/>
          <w:spacing w:val="-22"/>
          <w:sz w:val="24"/>
          <w:szCs w:val="24"/>
          <w:lang w:eastAsia="zh-CN"/>
        </w:rPr>
        <w:t>管理</w:t>
      </w:r>
      <w:r>
        <w:rPr>
          <w:rFonts w:ascii="宋体" w:hAnsi="宋体" w:eastAsia="宋体" w:cs="宋体"/>
          <w:spacing w:val="-22"/>
          <w:sz w:val="24"/>
          <w:szCs w:val="24"/>
          <w:lang w:eastAsia="zh-CN"/>
        </w:rPr>
        <w:t>人员</w:t>
      </w:r>
      <w:r>
        <w:rPr>
          <w:rFonts w:hint="eastAsia" w:ascii="宋体" w:hAnsi="宋体" w:eastAsia="宋体" w:cs="宋体"/>
          <w:spacing w:val="-22"/>
          <w:sz w:val="24"/>
          <w:szCs w:val="24"/>
          <w:lang w:eastAsia="zh-CN"/>
        </w:rPr>
        <w:t>配备</w:t>
      </w:r>
      <w:r>
        <w:rPr>
          <w:rFonts w:ascii="宋体" w:hAnsi="宋体" w:eastAsia="宋体" w:cs="宋体"/>
          <w:spacing w:val="-22"/>
          <w:sz w:val="24"/>
          <w:szCs w:val="24"/>
          <w:lang w:eastAsia="zh-CN"/>
        </w:rPr>
        <w:t>、</w:t>
      </w:r>
      <w:r>
        <w:rPr>
          <w:rFonts w:hint="eastAsia" w:ascii="宋体" w:hAnsi="宋体" w:eastAsia="宋体" w:cs="宋体"/>
          <w:spacing w:val="-22"/>
          <w:sz w:val="24"/>
          <w:szCs w:val="24"/>
          <w:lang w:eastAsia="zh-CN"/>
        </w:rPr>
        <w:t>碳排放计量器具配备管理</w:t>
      </w:r>
      <w:r>
        <w:rPr>
          <w:rFonts w:ascii="宋体" w:hAnsi="宋体" w:eastAsia="宋体" w:cs="宋体"/>
          <w:spacing w:val="-22"/>
          <w:sz w:val="24"/>
          <w:szCs w:val="24"/>
          <w:lang w:eastAsia="zh-CN"/>
        </w:rPr>
        <w:t>、</w:t>
      </w:r>
      <w:r>
        <w:rPr>
          <w:rFonts w:hint="eastAsia" w:ascii="宋体" w:hAnsi="宋体" w:eastAsia="宋体" w:cs="宋体"/>
          <w:spacing w:val="-22"/>
          <w:sz w:val="24"/>
          <w:szCs w:val="24"/>
          <w:lang w:eastAsia="zh-CN"/>
        </w:rPr>
        <w:t>碳计量管理体系</w:t>
      </w:r>
      <w:r>
        <w:rPr>
          <w:rFonts w:ascii="宋体" w:hAnsi="宋体" w:eastAsia="宋体" w:cs="宋体"/>
          <w:spacing w:val="-22"/>
          <w:sz w:val="24"/>
          <w:szCs w:val="24"/>
          <w:lang w:eastAsia="zh-CN"/>
        </w:rPr>
        <w:t>等方面</w:t>
      </w:r>
      <w:r>
        <w:rPr>
          <w:rFonts w:ascii="宋体" w:hAnsi="宋体" w:eastAsia="宋体" w:cs="宋体"/>
          <w:spacing w:val="-23"/>
          <w:sz w:val="24"/>
          <w:szCs w:val="24"/>
          <w:lang w:eastAsia="zh-CN"/>
        </w:rPr>
        <w:t>的要求，</w:t>
      </w:r>
      <w:r>
        <w:rPr>
          <w:rFonts w:ascii="宋体" w:hAnsi="宋体" w:eastAsia="宋体" w:cs="宋体"/>
          <w:spacing w:val="-19"/>
          <w:sz w:val="24"/>
          <w:szCs w:val="24"/>
          <w:lang w:eastAsia="zh-CN"/>
        </w:rPr>
        <w:t>为零碳产业园的</w:t>
      </w:r>
      <w:r>
        <w:rPr>
          <w:rFonts w:hint="eastAsia" w:ascii="宋体" w:hAnsi="宋体" w:eastAsia="宋体" w:cs="宋体"/>
          <w:spacing w:val="-19"/>
          <w:sz w:val="24"/>
          <w:szCs w:val="24"/>
          <w:lang w:eastAsia="zh-CN"/>
        </w:rPr>
        <w:t>碳</w:t>
      </w:r>
      <w:r>
        <w:rPr>
          <w:rFonts w:ascii="宋体" w:hAnsi="宋体" w:eastAsia="宋体" w:cs="宋体"/>
          <w:spacing w:val="-19"/>
          <w:sz w:val="24"/>
          <w:szCs w:val="24"/>
          <w:lang w:eastAsia="zh-CN"/>
        </w:rPr>
        <w:t>计量工作提供依据。</w:t>
      </w:r>
    </w:p>
    <w:p w14:paraId="1E9BCF71">
      <w:pPr>
        <w:spacing w:before="37" w:line="360" w:lineRule="auto"/>
        <w:ind w:firstLine="412" w:firstLineChars="200"/>
        <w:rPr>
          <w:rFonts w:ascii="宋体" w:hAnsi="宋体" w:eastAsia="宋体" w:cs="宋体"/>
          <w:sz w:val="24"/>
          <w:szCs w:val="24"/>
          <w:lang w:eastAsia="zh-CN"/>
        </w:rPr>
      </w:pPr>
      <w:r>
        <w:rPr>
          <w:rFonts w:ascii="宋体" w:hAnsi="宋体" w:eastAsia="宋体" w:cs="宋体"/>
          <w:spacing w:val="-17"/>
          <w:sz w:val="24"/>
          <w:szCs w:val="24"/>
          <w:lang w:eastAsia="zh-CN"/>
        </w:rPr>
        <w:t>本规范为首次发布。</w:t>
      </w:r>
    </w:p>
    <w:p w14:paraId="1D2C3D87">
      <w:pPr>
        <w:spacing w:line="219" w:lineRule="auto"/>
        <w:rPr>
          <w:rFonts w:ascii="宋体" w:hAnsi="宋体" w:eastAsia="宋体" w:cs="宋体"/>
          <w:sz w:val="24"/>
          <w:szCs w:val="24"/>
          <w:lang w:eastAsia="zh-CN"/>
        </w:rPr>
        <w:sectPr>
          <w:headerReference r:id="rId6" w:type="default"/>
          <w:footerReference r:id="rId7" w:type="default"/>
          <w:pgSz w:w="11906" w:h="16839"/>
          <w:pgMar w:top="1440" w:right="1080" w:bottom="1440" w:left="1080" w:header="709" w:footer="821" w:gutter="0"/>
          <w:cols w:space="720" w:num="1"/>
          <w:docGrid w:linePitch="286" w:charSpace="0"/>
        </w:sectPr>
      </w:pPr>
    </w:p>
    <w:p w14:paraId="0303BF5C">
      <w:pPr>
        <w:pStyle w:val="3"/>
        <w:spacing w:line="433" w:lineRule="auto"/>
        <w:rPr>
          <w:lang w:eastAsia="zh-CN"/>
        </w:rPr>
      </w:pPr>
    </w:p>
    <w:p w14:paraId="6748A428">
      <w:pPr>
        <w:pStyle w:val="3"/>
        <w:spacing w:line="466" w:lineRule="auto"/>
        <w:jc w:val="center"/>
        <w:rPr>
          <w:lang w:eastAsia="zh-CN"/>
        </w:rPr>
      </w:pPr>
      <w:bookmarkStart w:id="5" w:name="bookmark4"/>
      <w:bookmarkEnd w:id="5"/>
      <w:r>
        <w:rPr>
          <w:rFonts w:hint="eastAsia" w:ascii="黑体" w:hAnsi="黑体" w:eastAsia="黑体" w:cs="黑体"/>
          <w:spacing w:val="8"/>
          <w:sz w:val="31"/>
          <w:szCs w:val="31"/>
          <w:lang w:eastAsia="zh-CN"/>
        </w:rPr>
        <w:t>零碳产业园碳计量体系建设指南</w:t>
      </w:r>
    </w:p>
    <w:p w14:paraId="2B713291">
      <w:pPr>
        <w:spacing w:line="360" w:lineRule="auto"/>
        <w:outlineLvl w:val="0"/>
        <w:rPr>
          <w:rFonts w:ascii="黑体" w:hAnsi="黑体" w:eastAsia="黑体" w:cs="黑体"/>
          <w:sz w:val="24"/>
          <w:szCs w:val="24"/>
          <w:lang w:eastAsia="zh-CN"/>
        </w:rPr>
      </w:pPr>
      <w:bookmarkStart w:id="6" w:name="bookmark3"/>
      <w:bookmarkEnd w:id="6"/>
      <w:bookmarkStart w:id="7" w:name="_Toc190246695"/>
      <w:r>
        <w:rPr>
          <w:rFonts w:ascii="黑体" w:hAnsi="黑体" w:eastAsia="黑体" w:cs="黑体"/>
          <w:spacing w:val="-6"/>
          <w:sz w:val="24"/>
          <w:szCs w:val="24"/>
          <w:lang w:eastAsia="zh-CN"/>
        </w:rPr>
        <w:t>1.范围</w:t>
      </w:r>
      <w:bookmarkEnd w:id="7"/>
    </w:p>
    <w:p w14:paraId="2368ED28">
      <w:pPr>
        <w:spacing w:line="360" w:lineRule="auto"/>
        <w:ind w:firstLine="404" w:firstLineChars="200"/>
        <w:rPr>
          <w:rFonts w:ascii="宋体" w:hAnsi="宋体" w:eastAsia="宋体" w:cs="宋体"/>
          <w:sz w:val="24"/>
          <w:szCs w:val="24"/>
          <w:lang w:eastAsia="zh-CN"/>
        </w:rPr>
      </w:pPr>
      <w:r>
        <w:rPr>
          <w:rFonts w:ascii="宋体" w:hAnsi="宋体" w:eastAsia="宋体" w:cs="宋体"/>
          <w:spacing w:val="-19"/>
          <w:sz w:val="24"/>
          <w:szCs w:val="24"/>
          <w:lang w:eastAsia="zh-CN"/>
        </w:rPr>
        <w:t>本规范适用于</w:t>
      </w:r>
      <w:r>
        <w:rPr>
          <w:rFonts w:hint="eastAsia" w:ascii="宋体" w:hAnsi="宋体" w:eastAsia="宋体" w:cs="宋体"/>
          <w:spacing w:val="-19"/>
          <w:sz w:val="24"/>
          <w:szCs w:val="24"/>
          <w:lang w:eastAsia="zh-CN"/>
        </w:rPr>
        <w:t>指导</w:t>
      </w:r>
      <w:r>
        <w:rPr>
          <w:rFonts w:ascii="宋体" w:hAnsi="宋体" w:eastAsia="宋体" w:cs="宋体"/>
          <w:spacing w:val="-19"/>
          <w:sz w:val="24"/>
          <w:szCs w:val="24"/>
          <w:lang w:eastAsia="zh-CN"/>
        </w:rPr>
        <w:t>零碳产业园</w:t>
      </w:r>
      <w:r>
        <w:rPr>
          <w:rFonts w:hint="eastAsia" w:ascii="宋体" w:hAnsi="宋体" w:eastAsia="宋体" w:cs="宋体"/>
          <w:spacing w:val="-19"/>
          <w:sz w:val="24"/>
          <w:szCs w:val="24"/>
          <w:lang w:eastAsia="zh-CN"/>
        </w:rPr>
        <w:t>碳计量体系建设</w:t>
      </w:r>
      <w:r>
        <w:rPr>
          <w:rFonts w:ascii="宋体" w:hAnsi="宋体" w:eastAsia="宋体" w:cs="宋体"/>
          <w:spacing w:val="-19"/>
          <w:sz w:val="24"/>
          <w:szCs w:val="24"/>
          <w:lang w:eastAsia="zh-CN"/>
        </w:rPr>
        <w:t>，</w:t>
      </w:r>
      <w:r>
        <w:rPr>
          <w:rFonts w:hint="eastAsia" w:ascii="宋体" w:hAnsi="宋体" w:eastAsia="宋体" w:cs="宋体"/>
          <w:spacing w:val="-19"/>
          <w:sz w:val="24"/>
          <w:szCs w:val="24"/>
          <w:lang w:eastAsia="zh-CN"/>
        </w:rPr>
        <w:t>其他有碳计量需求的园区可参考执行</w:t>
      </w:r>
      <w:r>
        <w:rPr>
          <w:rFonts w:ascii="宋体" w:hAnsi="宋体" w:eastAsia="宋体" w:cs="宋体"/>
          <w:spacing w:val="-20"/>
          <w:sz w:val="24"/>
          <w:szCs w:val="24"/>
          <w:lang w:eastAsia="zh-CN"/>
        </w:rPr>
        <w:t>。</w:t>
      </w:r>
    </w:p>
    <w:p w14:paraId="5847F112">
      <w:pPr>
        <w:spacing w:line="360" w:lineRule="auto"/>
        <w:outlineLvl w:val="0"/>
        <w:rPr>
          <w:rFonts w:ascii="黑体" w:hAnsi="黑体" w:eastAsia="黑体" w:cs="黑体"/>
          <w:spacing w:val="-6"/>
          <w:sz w:val="24"/>
          <w:szCs w:val="24"/>
          <w:lang w:eastAsia="zh-CN"/>
        </w:rPr>
      </w:pPr>
      <w:bookmarkStart w:id="8" w:name="bookmark6"/>
      <w:bookmarkEnd w:id="8"/>
      <w:bookmarkStart w:id="9" w:name="bookmark5"/>
      <w:bookmarkEnd w:id="9"/>
      <w:bookmarkStart w:id="10" w:name="_Toc190246696"/>
      <w:r>
        <w:rPr>
          <w:rFonts w:ascii="黑体" w:hAnsi="黑体" w:eastAsia="黑体" w:cs="黑体"/>
          <w:spacing w:val="-6"/>
          <w:sz w:val="24"/>
          <w:szCs w:val="24"/>
          <w:lang w:eastAsia="zh-CN"/>
        </w:rPr>
        <w:t>2.规范性引用文件</w:t>
      </w:r>
      <w:bookmarkEnd w:id="10"/>
    </w:p>
    <w:p w14:paraId="39AC3D8E">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下列文件中的内容通过文中的规范性应用而构成本文件必不可少的条款。其中，不注日期的引 用文件，其最新版本（包括所有的修改单）适用于本文件。</w:t>
      </w:r>
    </w:p>
    <w:p w14:paraId="11CD25B2">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 xml:space="preserve">GB </w:t>
      </w:r>
      <w:r>
        <w:rPr>
          <w:rFonts w:hint="eastAsia" w:ascii="宋体" w:hAnsi="宋体" w:eastAsia="宋体" w:cs="宋体"/>
          <w:spacing w:val="-19"/>
          <w:sz w:val="24"/>
          <w:szCs w:val="24"/>
          <w:lang w:eastAsia="zh-CN"/>
        </w:rPr>
        <w:t>17167</w:t>
      </w:r>
      <w:r>
        <w:rPr>
          <w:rFonts w:ascii="宋体" w:hAnsi="宋体" w:eastAsia="宋体" w:cs="宋体"/>
          <w:spacing w:val="-19"/>
          <w:sz w:val="24"/>
          <w:szCs w:val="24"/>
          <w:lang w:eastAsia="zh-CN"/>
        </w:rPr>
        <w:t>《</w:t>
      </w:r>
      <w:r>
        <w:rPr>
          <w:rFonts w:hint="eastAsia" w:ascii="宋体" w:hAnsi="宋体" w:eastAsia="宋体" w:cs="宋体"/>
          <w:spacing w:val="-19"/>
          <w:sz w:val="24"/>
          <w:szCs w:val="24"/>
          <w:lang w:eastAsia="zh-CN"/>
        </w:rPr>
        <w:t>重点用能单位</w:t>
      </w:r>
      <w:r>
        <w:rPr>
          <w:rFonts w:ascii="宋体" w:hAnsi="宋体" w:eastAsia="宋体" w:cs="宋体"/>
          <w:spacing w:val="-19"/>
          <w:sz w:val="24"/>
          <w:szCs w:val="24"/>
          <w:lang w:eastAsia="zh-CN"/>
        </w:rPr>
        <w:t>能源资源计量器具配备和管理要求》</w:t>
      </w:r>
    </w:p>
    <w:p w14:paraId="3683B303">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GB/T 36132《绿色工厂评价通则》</w:t>
      </w:r>
    </w:p>
    <w:p w14:paraId="3ECD1909">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JJF 1001</w:t>
      </w:r>
      <w:r>
        <w:rPr>
          <w:rFonts w:hint="eastAsia" w:ascii="宋体" w:hAnsi="宋体" w:eastAsia="宋体" w:cs="宋体"/>
          <w:spacing w:val="-19"/>
          <w:sz w:val="24"/>
          <w:szCs w:val="24"/>
          <w:lang w:eastAsia="zh-CN"/>
        </w:rPr>
        <w:t xml:space="preserve"> </w:t>
      </w:r>
      <w:r>
        <w:rPr>
          <w:rFonts w:ascii="宋体" w:hAnsi="宋体" w:eastAsia="宋体" w:cs="宋体"/>
          <w:spacing w:val="-19"/>
          <w:sz w:val="24"/>
          <w:szCs w:val="24"/>
          <w:lang w:eastAsia="zh-CN"/>
        </w:rPr>
        <w:t>《通用计量术语及定义》</w:t>
      </w:r>
    </w:p>
    <w:p w14:paraId="4B52DE73">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JJF 1356</w:t>
      </w:r>
      <w:r>
        <w:rPr>
          <w:rFonts w:hint="eastAsia" w:ascii="宋体" w:hAnsi="宋体" w:eastAsia="宋体" w:cs="宋体"/>
          <w:spacing w:val="-19"/>
          <w:sz w:val="24"/>
          <w:szCs w:val="24"/>
          <w:lang w:eastAsia="zh-CN"/>
        </w:rPr>
        <w:t xml:space="preserve"> </w:t>
      </w:r>
      <w:r>
        <w:rPr>
          <w:rFonts w:ascii="宋体" w:hAnsi="宋体" w:eastAsia="宋体" w:cs="宋体"/>
          <w:spacing w:val="-19"/>
          <w:sz w:val="24"/>
          <w:szCs w:val="24"/>
          <w:lang w:eastAsia="zh-CN"/>
        </w:rPr>
        <w:t>《重点用能单位能源计量审查规范》</w:t>
      </w:r>
    </w:p>
    <w:p w14:paraId="3957CC4E">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JJF（皖）197-2025《重点排放单位碳排放计量器具配备及管理技术规范》</w:t>
      </w:r>
    </w:p>
    <w:p w14:paraId="345DE58E">
      <w:pPr>
        <w:spacing w:line="360" w:lineRule="auto"/>
        <w:outlineLvl w:val="0"/>
        <w:rPr>
          <w:rFonts w:ascii="黑体" w:hAnsi="黑体" w:eastAsia="黑体" w:cs="黑体"/>
          <w:spacing w:val="-6"/>
          <w:sz w:val="24"/>
          <w:szCs w:val="24"/>
          <w:lang w:eastAsia="zh-CN"/>
        </w:rPr>
      </w:pPr>
      <w:bookmarkStart w:id="11" w:name="bookmark7"/>
      <w:bookmarkEnd w:id="11"/>
      <w:bookmarkStart w:id="12" w:name="bookmark8"/>
      <w:bookmarkEnd w:id="12"/>
      <w:bookmarkStart w:id="13" w:name="_Toc190246697"/>
      <w:r>
        <w:rPr>
          <w:rFonts w:ascii="黑体" w:hAnsi="黑体" w:eastAsia="黑体" w:cs="黑体"/>
          <w:spacing w:val="-6"/>
          <w:sz w:val="24"/>
          <w:szCs w:val="24"/>
          <w:lang w:eastAsia="zh-CN"/>
        </w:rPr>
        <w:t>3.术语和定义</w:t>
      </w:r>
      <w:bookmarkEnd w:id="13"/>
    </w:p>
    <w:p w14:paraId="675F9728">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 xml:space="preserve">GB 17167、GB/T </w:t>
      </w:r>
      <w:r>
        <w:rPr>
          <w:rFonts w:hint="eastAsia" w:ascii="宋体" w:hAnsi="宋体" w:eastAsia="宋体" w:cs="宋体"/>
          <w:spacing w:val="-19"/>
          <w:sz w:val="24"/>
          <w:szCs w:val="24"/>
          <w:lang w:eastAsia="zh-CN"/>
        </w:rPr>
        <w:t>36132</w:t>
      </w:r>
      <w:r>
        <w:rPr>
          <w:rFonts w:ascii="宋体" w:hAnsi="宋体" w:eastAsia="宋体" w:cs="宋体"/>
          <w:spacing w:val="-19"/>
          <w:sz w:val="24"/>
          <w:szCs w:val="24"/>
          <w:lang w:eastAsia="zh-CN"/>
        </w:rPr>
        <w:t xml:space="preserve">、JJF </w:t>
      </w:r>
      <w:r>
        <w:rPr>
          <w:rFonts w:hint="eastAsia" w:ascii="宋体" w:hAnsi="宋体" w:eastAsia="宋体" w:cs="宋体"/>
          <w:spacing w:val="-19"/>
          <w:sz w:val="24"/>
          <w:szCs w:val="24"/>
          <w:lang w:eastAsia="zh-CN"/>
        </w:rPr>
        <w:t>1001、</w:t>
      </w:r>
      <w:r>
        <w:rPr>
          <w:rFonts w:ascii="宋体" w:hAnsi="宋体" w:eastAsia="宋体" w:cs="宋体"/>
          <w:spacing w:val="-19"/>
          <w:sz w:val="24"/>
          <w:szCs w:val="24"/>
          <w:lang w:eastAsia="zh-CN"/>
        </w:rPr>
        <w:t>JJF 1356</w:t>
      </w:r>
      <w:r>
        <w:rPr>
          <w:rFonts w:hint="eastAsia" w:ascii="宋体" w:hAnsi="宋体" w:eastAsia="宋体" w:cs="宋体"/>
          <w:spacing w:val="-19"/>
          <w:sz w:val="24"/>
          <w:szCs w:val="24"/>
          <w:lang w:eastAsia="zh-CN"/>
        </w:rPr>
        <w:t>、JJF（皖）197-2025</w:t>
      </w:r>
      <w:r>
        <w:rPr>
          <w:rFonts w:ascii="宋体" w:hAnsi="宋体" w:eastAsia="宋体" w:cs="宋体"/>
          <w:spacing w:val="-19"/>
          <w:sz w:val="24"/>
          <w:szCs w:val="24"/>
          <w:lang w:eastAsia="zh-CN"/>
        </w:rPr>
        <w:t>界定的以及下列术语适用于本</w:t>
      </w:r>
      <w:r>
        <w:rPr>
          <w:rFonts w:hint="eastAsia" w:ascii="宋体" w:hAnsi="宋体" w:eastAsia="宋体" w:cs="宋体"/>
          <w:spacing w:val="-19"/>
          <w:sz w:val="24"/>
          <w:szCs w:val="24"/>
          <w:lang w:eastAsia="zh-CN"/>
        </w:rPr>
        <w:t>规范</w:t>
      </w:r>
      <w:r>
        <w:rPr>
          <w:rFonts w:ascii="宋体" w:hAnsi="宋体" w:eastAsia="宋体" w:cs="宋体"/>
          <w:spacing w:val="-19"/>
          <w:sz w:val="24"/>
          <w:szCs w:val="24"/>
          <w:lang w:eastAsia="zh-CN"/>
        </w:rPr>
        <w:t>。</w:t>
      </w:r>
    </w:p>
    <w:p w14:paraId="0F10C143">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3.1 零碳产业园 zero carbon industrialpark</w:t>
      </w:r>
    </w:p>
    <w:p w14:paraId="4530A328">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在一定区域范围内，通过能源、产业、建筑、交通、废弃物处理、生态等多领域技术工艺的集成应用和管理机制创新实践，实现区域范围内碳中和的产业园区</w:t>
      </w:r>
      <w:r>
        <w:rPr>
          <w:rFonts w:ascii="宋体" w:hAnsi="宋体" w:eastAsia="宋体" w:cs="宋体"/>
          <w:spacing w:val="-19"/>
          <w:sz w:val="24"/>
          <w:szCs w:val="24"/>
          <w:lang w:eastAsia="zh-CN"/>
        </w:rPr>
        <w:t>。</w:t>
      </w:r>
    </w:p>
    <w:p w14:paraId="70A6688C">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3.2</w:t>
      </w:r>
      <w:r>
        <w:rPr>
          <w:rFonts w:hint="eastAsia" w:ascii="宋体" w:hAnsi="宋体" w:eastAsia="宋体" w:cs="宋体"/>
          <w:spacing w:val="-19"/>
          <w:sz w:val="24"/>
          <w:szCs w:val="24"/>
          <w:lang w:eastAsia="zh-CN"/>
        </w:rPr>
        <w:tab/>
      </w:r>
      <w:r>
        <w:rPr>
          <w:rFonts w:hint="eastAsia" w:ascii="宋体" w:hAnsi="宋体" w:eastAsia="宋体" w:cs="宋体"/>
          <w:spacing w:val="-19"/>
          <w:sz w:val="24"/>
          <w:szCs w:val="24"/>
          <w:lang w:eastAsia="zh-CN"/>
        </w:rPr>
        <w:t>碳排放 carbon emission</w:t>
      </w:r>
    </w:p>
    <w:p w14:paraId="6F9BDD61">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在特定时段内向大气中释放温室气体的过程。</w:t>
      </w:r>
    </w:p>
    <w:p w14:paraId="58B99FCE">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3.</w:t>
      </w:r>
      <w:r>
        <w:rPr>
          <w:rFonts w:hint="eastAsia" w:ascii="宋体" w:hAnsi="宋体" w:eastAsia="宋体" w:cs="宋体"/>
          <w:spacing w:val="-19"/>
          <w:sz w:val="24"/>
          <w:szCs w:val="24"/>
          <w:lang w:eastAsia="zh-CN"/>
        </w:rPr>
        <w:t>3</w:t>
      </w:r>
      <w:r>
        <w:rPr>
          <w:rFonts w:ascii="宋体" w:hAnsi="宋体" w:eastAsia="宋体" w:cs="宋体"/>
          <w:spacing w:val="-19"/>
          <w:sz w:val="24"/>
          <w:szCs w:val="24"/>
          <w:lang w:eastAsia="zh-CN"/>
        </w:rPr>
        <w:t xml:space="preserve"> 碳监测 carbon monitoring</w:t>
      </w:r>
    </w:p>
    <w:p w14:paraId="1EC3CCAD">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通过综合观测、数值模拟、统计分析等手段，获取温室气体排放量的监测过程。</w:t>
      </w:r>
    </w:p>
    <w:p w14:paraId="21A5829C">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3.</w:t>
      </w:r>
      <w:r>
        <w:rPr>
          <w:rFonts w:hint="eastAsia" w:ascii="宋体" w:hAnsi="宋体" w:eastAsia="宋体" w:cs="宋体"/>
          <w:spacing w:val="-19"/>
          <w:sz w:val="24"/>
          <w:szCs w:val="24"/>
          <w:lang w:eastAsia="zh-CN"/>
        </w:rPr>
        <w:t>4</w:t>
      </w:r>
      <w:r>
        <w:rPr>
          <w:rFonts w:ascii="宋体" w:hAnsi="宋体" w:eastAsia="宋体" w:cs="宋体"/>
          <w:spacing w:val="-19"/>
          <w:sz w:val="24"/>
          <w:szCs w:val="24"/>
          <w:lang w:eastAsia="zh-CN"/>
        </w:rPr>
        <w:t xml:space="preserve"> 碳计量 carbon measurement</w:t>
      </w:r>
    </w:p>
    <w:p w14:paraId="21F726D7">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碳排放监测、碳排放权交易、碳核查和碳排放清单编制中相关参数的测量、记录、统计、分析、 核查、计算等活动或过程。</w:t>
      </w:r>
    </w:p>
    <w:p w14:paraId="5F41CF0A">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3.5</w:t>
      </w:r>
      <w:r>
        <w:rPr>
          <w:rFonts w:hint="eastAsia" w:ascii="宋体" w:hAnsi="宋体" w:eastAsia="宋体" w:cs="宋体"/>
          <w:spacing w:val="-19"/>
          <w:sz w:val="24"/>
          <w:szCs w:val="24"/>
          <w:lang w:eastAsia="zh-CN"/>
        </w:rPr>
        <w:tab/>
      </w:r>
      <w:r>
        <w:rPr>
          <w:rFonts w:hint="eastAsia" w:ascii="宋体" w:hAnsi="宋体" w:eastAsia="宋体" w:cs="宋体"/>
          <w:spacing w:val="-19"/>
          <w:sz w:val="24"/>
          <w:szCs w:val="24"/>
          <w:lang w:eastAsia="zh-CN"/>
        </w:rPr>
        <w:t>碳排放计量器具 carbon emission metering instruments</w:t>
      </w:r>
    </w:p>
    <w:p w14:paraId="2C81F3B8">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用于直接或间接测出碳排放量值的装置、仪器仪表、量具或用于统一量值的标准物质。</w:t>
      </w:r>
    </w:p>
    <w:p w14:paraId="494B1CC8">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3.6 碳排放计量管理系统 carbon emission metering management system</w:t>
      </w:r>
    </w:p>
    <w:p w14:paraId="1A6DA813">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具备实时精准的建筑计量器具及温室气体排放度量、统计、分析及目标设置和追踪能力的数字化平台。</w:t>
      </w:r>
    </w:p>
    <w:p w14:paraId="2FA17CFA">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 xml:space="preserve"> [GB/T 32151.8-2023，定义3.2]</w:t>
      </w:r>
    </w:p>
    <w:p w14:paraId="429DEF39">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3.7</w:t>
      </w:r>
      <w:r>
        <w:rPr>
          <w:rFonts w:hint="eastAsia" w:ascii="宋体" w:hAnsi="宋体" w:eastAsia="宋体" w:cs="宋体"/>
          <w:spacing w:val="-19"/>
          <w:sz w:val="24"/>
          <w:szCs w:val="24"/>
          <w:lang w:eastAsia="zh-CN"/>
        </w:rPr>
        <w:tab/>
      </w:r>
      <w:r>
        <w:rPr>
          <w:rFonts w:hint="eastAsia" w:ascii="宋体" w:hAnsi="宋体" w:eastAsia="宋体" w:cs="宋体"/>
          <w:spacing w:val="-19"/>
          <w:sz w:val="24"/>
          <w:szCs w:val="24"/>
          <w:lang w:eastAsia="zh-CN"/>
        </w:rPr>
        <w:t>碳排放计量审查 examination of the carbon emission measuring</w:t>
      </w:r>
    </w:p>
    <w:p w14:paraId="57BF01AD">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政府计量行政主管部门对重点排放单位碳排放计量器具配备和使用、碳排放计量人员配备和培训、碳排放计量数据管理等碳排放计量工作情况的审核与检查。</w:t>
      </w:r>
    </w:p>
    <w:p w14:paraId="0A190A06">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3.8 活动数据  activity data</w:t>
      </w:r>
    </w:p>
    <w:p w14:paraId="03477EB0">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导致温室气体排放的生产或消费活动量的表征值。</w:t>
      </w:r>
    </w:p>
    <w:p w14:paraId="622266F3">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[GB/T 32150-2015，定义3.12]</w:t>
      </w:r>
    </w:p>
    <w:p w14:paraId="77F0928B">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注：例如各种化石燃料的消耗量、原材料的使用量、购入的电量、购入的热量等。</w:t>
      </w:r>
    </w:p>
    <w:p w14:paraId="0095EAF3">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3.9</w:t>
      </w:r>
      <w:r>
        <w:rPr>
          <w:rFonts w:hint="eastAsia" w:ascii="宋体" w:hAnsi="宋体" w:eastAsia="宋体" w:cs="宋体"/>
          <w:spacing w:val="-19"/>
          <w:sz w:val="24"/>
          <w:szCs w:val="24"/>
          <w:lang w:eastAsia="zh-CN"/>
        </w:rPr>
        <w:tab/>
      </w:r>
      <w:r>
        <w:rPr>
          <w:rFonts w:hint="eastAsia" w:ascii="宋体" w:hAnsi="宋体" w:eastAsia="宋体" w:cs="宋体"/>
          <w:spacing w:val="-19"/>
          <w:sz w:val="24"/>
          <w:szCs w:val="24"/>
          <w:lang w:eastAsia="zh-CN"/>
        </w:rPr>
        <w:t>排放因子  emission factor</w:t>
      </w:r>
    </w:p>
    <w:p w14:paraId="41E8A3C7">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表征单位生产或消费活动量的温室气体排放的系数。</w:t>
      </w:r>
    </w:p>
    <w:p w14:paraId="7AD51BD7">
      <w:pPr>
        <w:spacing w:line="360" w:lineRule="auto"/>
        <w:ind w:firstLine="404" w:firstLineChars="200"/>
        <w:rPr>
          <w:rFonts w:ascii="宋体" w:hAnsi="宋体" w:eastAsia="宋体" w:cs="宋体"/>
          <w:spacing w:val="-19"/>
          <w:sz w:val="24"/>
          <w:szCs w:val="24"/>
          <w:lang w:eastAsia="zh-CN"/>
        </w:rPr>
      </w:pPr>
    </w:p>
    <w:p w14:paraId="23C9CC8B">
      <w:pPr>
        <w:spacing w:line="360" w:lineRule="auto"/>
        <w:outlineLvl w:val="0"/>
        <w:rPr>
          <w:rFonts w:ascii="黑体" w:hAnsi="黑体" w:eastAsia="黑体" w:cs="黑体"/>
          <w:spacing w:val="-6"/>
          <w:sz w:val="24"/>
          <w:szCs w:val="24"/>
          <w:lang w:eastAsia="zh-CN"/>
        </w:rPr>
      </w:pPr>
      <w:bookmarkStart w:id="14" w:name="bookmark10"/>
      <w:bookmarkEnd w:id="14"/>
      <w:bookmarkStart w:id="15" w:name="bookmark9"/>
      <w:bookmarkEnd w:id="15"/>
      <w:bookmarkStart w:id="16" w:name="_Toc190246698"/>
      <w:r>
        <w:rPr>
          <w:rFonts w:ascii="黑体" w:hAnsi="黑体" w:eastAsia="黑体" w:cs="黑体"/>
          <w:spacing w:val="-6"/>
          <w:sz w:val="24"/>
          <w:szCs w:val="24"/>
          <w:lang w:eastAsia="zh-CN"/>
        </w:rPr>
        <w:t>4.通用要求</w:t>
      </w:r>
      <w:bookmarkEnd w:id="16"/>
    </w:p>
    <w:p w14:paraId="131B6E0C">
      <w:pPr>
        <w:spacing w:line="360" w:lineRule="auto"/>
        <w:ind w:firstLine="404" w:firstLineChars="200"/>
        <w:rPr>
          <w:rFonts w:ascii="宋体" w:hAnsi="宋体" w:eastAsia="宋体" w:cs="宋体"/>
          <w:spacing w:val="-19"/>
          <w:sz w:val="24"/>
          <w:szCs w:val="24"/>
          <w:lang w:eastAsia="zh-CN"/>
        </w:rPr>
      </w:pPr>
      <w:bookmarkStart w:id="17" w:name="bookmark14"/>
      <w:bookmarkEnd w:id="17"/>
      <w:bookmarkStart w:id="18" w:name="bookmark11"/>
      <w:bookmarkEnd w:id="18"/>
      <w:bookmarkStart w:id="19" w:name="bookmark12"/>
      <w:bookmarkEnd w:id="19"/>
      <w:bookmarkStart w:id="20" w:name="bookmark13"/>
      <w:bookmarkEnd w:id="20"/>
      <w:r>
        <w:rPr>
          <w:rFonts w:ascii="宋体" w:hAnsi="宋体" w:eastAsia="宋体" w:cs="宋体"/>
          <w:spacing w:val="-19"/>
          <w:sz w:val="24"/>
          <w:szCs w:val="24"/>
          <w:lang w:eastAsia="zh-CN"/>
        </w:rPr>
        <w:t>4.</w:t>
      </w:r>
      <w:r>
        <w:rPr>
          <w:rFonts w:hint="eastAsia" w:ascii="宋体" w:hAnsi="宋体" w:eastAsia="宋体" w:cs="宋体"/>
          <w:spacing w:val="-19"/>
          <w:sz w:val="24"/>
          <w:szCs w:val="24"/>
          <w:lang w:eastAsia="zh-CN"/>
        </w:rPr>
        <w:t>1</w:t>
      </w:r>
      <w:r>
        <w:rPr>
          <w:rFonts w:ascii="宋体" w:hAnsi="宋体" w:eastAsia="宋体" w:cs="宋体"/>
          <w:spacing w:val="-19"/>
          <w:sz w:val="24"/>
          <w:szCs w:val="24"/>
          <w:lang w:eastAsia="zh-CN"/>
        </w:rPr>
        <w:t xml:space="preserve"> 基本要求</w:t>
      </w:r>
    </w:p>
    <w:p w14:paraId="10A15EC3">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零碳产业园</w:t>
      </w:r>
      <w:r>
        <w:rPr>
          <w:rFonts w:hint="eastAsia" w:ascii="宋体" w:hAnsi="宋体" w:eastAsia="宋体" w:cs="宋体"/>
          <w:spacing w:val="-19"/>
          <w:sz w:val="24"/>
          <w:szCs w:val="24"/>
          <w:lang w:eastAsia="zh-CN"/>
        </w:rPr>
        <w:t>碳计量活动</w:t>
      </w:r>
      <w:r>
        <w:rPr>
          <w:rFonts w:ascii="宋体" w:hAnsi="宋体" w:eastAsia="宋体" w:cs="宋体"/>
          <w:spacing w:val="-19"/>
          <w:sz w:val="24"/>
          <w:szCs w:val="24"/>
          <w:lang w:eastAsia="zh-CN"/>
        </w:rPr>
        <w:t>应遵循因地制宜的原则，以《中华人民共和国计量法》以及相关的法规、 规章为基础，结合零碳产业园所在地域的气候、环境、资源、经济和文化等特点，做到节能、环保、 生态，实现零碳产业园可持续发展。</w:t>
      </w:r>
    </w:p>
    <w:p w14:paraId="6BB71B09">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4.2 基本原则</w:t>
      </w:r>
    </w:p>
    <w:p w14:paraId="23E072EA">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零碳产业园核算温室气体排放量应遵循完整性、规范性、一致性</w:t>
      </w:r>
      <w:r>
        <w:rPr>
          <w:rFonts w:hint="eastAsia" w:ascii="宋体" w:hAnsi="宋体" w:eastAsia="宋体" w:cs="宋体"/>
          <w:spacing w:val="-19"/>
          <w:sz w:val="24"/>
          <w:szCs w:val="24"/>
          <w:lang w:eastAsia="zh-CN"/>
        </w:rPr>
        <w:t>、时效性</w:t>
      </w:r>
      <w:r>
        <w:rPr>
          <w:rFonts w:ascii="宋体" w:hAnsi="宋体" w:eastAsia="宋体" w:cs="宋体"/>
          <w:spacing w:val="-19"/>
          <w:sz w:val="24"/>
          <w:szCs w:val="24"/>
          <w:lang w:eastAsia="zh-CN"/>
        </w:rPr>
        <w:t>和准确性原则并做到公开透明。</w:t>
      </w:r>
    </w:p>
    <w:p w14:paraId="08BEE0DD">
      <w:pPr>
        <w:spacing w:line="360" w:lineRule="auto"/>
        <w:outlineLvl w:val="0"/>
        <w:rPr>
          <w:rFonts w:ascii="黑体" w:hAnsi="黑体" w:eastAsia="黑体" w:cs="黑体"/>
          <w:spacing w:val="-6"/>
          <w:sz w:val="24"/>
          <w:szCs w:val="24"/>
          <w:lang w:eastAsia="zh-CN"/>
        </w:rPr>
      </w:pPr>
      <w:bookmarkStart w:id="21" w:name="bookmark16"/>
      <w:bookmarkEnd w:id="21"/>
      <w:bookmarkStart w:id="22" w:name="bookmark15"/>
      <w:bookmarkEnd w:id="22"/>
      <w:bookmarkStart w:id="23" w:name="_Toc190246699"/>
      <w:r>
        <w:rPr>
          <w:rFonts w:ascii="黑体" w:hAnsi="黑体" w:eastAsia="黑体" w:cs="黑体"/>
          <w:spacing w:val="-6"/>
          <w:sz w:val="24"/>
          <w:szCs w:val="24"/>
          <w:lang w:eastAsia="zh-CN"/>
        </w:rPr>
        <w:t>5.</w:t>
      </w:r>
      <w:r>
        <w:rPr>
          <w:rFonts w:hint="eastAsia" w:ascii="黑体" w:hAnsi="黑体" w:eastAsia="黑体" w:cs="黑体"/>
          <w:spacing w:val="-6"/>
          <w:sz w:val="24"/>
          <w:szCs w:val="24"/>
          <w:lang w:eastAsia="zh-CN"/>
        </w:rPr>
        <w:t>组织架构</w:t>
      </w:r>
      <w:bookmarkEnd w:id="23"/>
    </w:p>
    <w:p w14:paraId="06C9F1B1">
      <w:pPr>
        <w:spacing w:line="360" w:lineRule="auto"/>
        <w:ind w:firstLine="404" w:firstLineChars="200"/>
        <w:rPr>
          <w:rFonts w:ascii="宋体" w:hAnsi="宋体" w:eastAsia="宋体" w:cs="宋体"/>
          <w:spacing w:val="-19"/>
          <w:sz w:val="24"/>
          <w:szCs w:val="24"/>
          <w:lang w:eastAsia="zh-CN"/>
        </w:rPr>
      </w:pPr>
      <w:bookmarkStart w:id="24" w:name="bookmark18"/>
      <w:bookmarkEnd w:id="24"/>
      <w:bookmarkStart w:id="25" w:name="bookmark17"/>
      <w:bookmarkEnd w:id="25"/>
      <w:r>
        <w:rPr>
          <w:rFonts w:ascii="宋体" w:hAnsi="宋体" w:eastAsia="宋体" w:cs="宋体"/>
          <w:spacing w:val="-19"/>
          <w:sz w:val="24"/>
          <w:szCs w:val="24"/>
          <w:lang w:eastAsia="zh-CN"/>
        </w:rPr>
        <w:t xml:space="preserve">5.1 </w:t>
      </w:r>
      <w:r>
        <w:rPr>
          <w:rFonts w:hint="eastAsia" w:ascii="宋体" w:hAnsi="宋体" w:eastAsia="宋体" w:cs="宋体"/>
          <w:spacing w:val="-19"/>
          <w:sz w:val="24"/>
          <w:szCs w:val="24"/>
          <w:lang w:eastAsia="zh-CN"/>
        </w:rPr>
        <w:t>园区碳</w:t>
      </w:r>
      <w:r>
        <w:rPr>
          <w:rFonts w:ascii="宋体" w:hAnsi="宋体" w:eastAsia="宋体" w:cs="宋体"/>
          <w:spacing w:val="-19"/>
          <w:sz w:val="24"/>
          <w:szCs w:val="24"/>
          <w:lang w:eastAsia="zh-CN"/>
        </w:rPr>
        <w:t>计量</w:t>
      </w:r>
      <w:r>
        <w:rPr>
          <w:rFonts w:hint="eastAsia" w:ascii="宋体" w:hAnsi="宋体" w:eastAsia="宋体" w:cs="宋体"/>
          <w:spacing w:val="-19"/>
          <w:sz w:val="24"/>
          <w:szCs w:val="24"/>
          <w:lang w:eastAsia="zh-CN"/>
        </w:rPr>
        <w:t>管理部门</w:t>
      </w:r>
    </w:p>
    <w:p w14:paraId="182DBD92">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主管零碳产业园的管委会应完善组织机构</w:t>
      </w:r>
      <w:r>
        <w:rPr>
          <w:rFonts w:hint="eastAsia" w:ascii="宋体" w:hAnsi="宋体" w:eastAsia="宋体" w:cs="宋体"/>
          <w:spacing w:val="-19"/>
          <w:sz w:val="24"/>
          <w:szCs w:val="24"/>
          <w:lang w:eastAsia="zh-CN"/>
        </w:rPr>
        <w:t>，</w:t>
      </w:r>
      <w:r>
        <w:rPr>
          <w:rFonts w:ascii="宋体" w:hAnsi="宋体" w:eastAsia="宋体" w:cs="宋体"/>
          <w:spacing w:val="-19"/>
          <w:sz w:val="24"/>
          <w:szCs w:val="24"/>
          <w:lang w:eastAsia="zh-CN"/>
        </w:rPr>
        <w:t>成立专门的碳计量管理部门或规定有关部门、单位组织落实本</w:t>
      </w:r>
      <w:r>
        <w:rPr>
          <w:rFonts w:hint="eastAsia" w:ascii="宋体" w:hAnsi="宋体" w:eastAsia="宋体" w:cs="宋体"/>
          <w:spacing w:val="-19"/>
          <w:sz w:val="24"/>
          <w:szCs w:val="24"/>
          <w:lang w:eastAsia="zh-CN"/>
        </w:rPr>
        <w:t>园区碳</w:t>
      </w:r>
      <w:r>
        <w:rPr>
          <w:rFonts w:ascii="宋体" w:hAnsi="宋体" w:eastAsia="宋体" w:cs="宋体"/>
          <w:spacing w:val="-19"/>
          <w:sz w:val="24"/>
          <w:szCs w:val="24"/>
          <w:lang w:eastAsia="zh-CN"/>
        </w:rPr>
        <w:t>计量管理工作</w:t>
      </w:r>
      <w:r>
        <w:rPr>
          <w:rFonts w:hint="eastAsia" w:ascii="宋体" w:hAnsi="宋体" w:eastAsia="宋体" w:cs="宋体"/>
          <w:spacing w:val="-19"/>
          <w:sz w:val="24"/>
          <w:szCs w:val="24"/>
          <w:lang w:eastAsia="zh-CN"/>
        </w:rPr>
        <w:t>，</w:t>
      </w:r>
      <w:r>
        <w:rPr>
          <w:rFonts w:ascii="宋体" w:hAnsi="宋体" w:eastAsia="宋体" w:cs="宋体"/>
          <w:spacing w:val="-19"/>
          <w:sz w:val="24"/>
          <w:szCs w:val="24"/>
          <w:lang w:eastAsia="zh-CN"/>
        </w:rPr>
        <w:t>并在实施中应承担的行政和技术职能（即职责、权限、相互关系），为持续有效运行提供组织保</w:t>
      </w:r>
      <w:r>
        <w:rPr>
          <w:rFonts w:hint="eastAsia" w:ascii="宋体" w:hAnsi="宋体" w:eastAsia="宋体" w:cs="宋体"/>
          <w:spacing w:val="-19"/>
          <w:sz w:val="24"/>
          <w:szCs w:val="24"/>
          <w:lang w:eastAsia="zh-CN"/>
        </w:rPr>
        <w:t>障</w:t>
      </w:r>
      <w:r>
        <w:rPr>
          <w:rFonts w:ascii="宋体" w:hAnsi="宋体" w:eastAsia="宋体" w:cs="宋体"/>
          <w:spacing w:val="-19"/>
          <w:sz w:val="24"/>
          <w:szCs w:val="24"/>
          <w:lang w:eastAsia="zh-CN"/>
        </w:rPr>
        <w:t>。</w:t>
      </w:r>
    </w:p>
    <w:p w14:paraId="4631E5F5">
      <w:pPr>
        <w:spacing w:line="360" w:lineRule="auto"/>
        <w:ind w:firstLine="404" w:firstLineChars="200"/>
        <w:rPr>
          <w:rFonts w:ascii="宋体" w:hAnsi="宋体" w:eastAsia="宋体" w:cs="宋体"/>
          <w:spacing w:val="-19"/>
          <w:sz w:val="24"/>
          <w:szCs w:val="24"/>
          <w:lang w:eastAsia="zh-CN"/>
        </w:rPr>
      </w:pPr>
      <w:bookmarkStart w:id="26" w:name="bookmark20"/>
      <w:bookmarkEnd w:id="26"/>
      <w:bookmarkStart w:id="27" w:name="bookmark19"/>
      <w:bookmarkEnd w:id="27"/>
      <w:r>
        <w:rPr>
          <w:rFonts w:ascii="宋体" w:hAnsi="宋体" w:eastAsia="宋体" w:cs="宋体"/>
          <w:spacing w:val="-19"/>
          <w:sz w:val="24"/>
          <w:szCs w:val="24"/>
          <w:lang w:eastAsia="zh-CN"/>
        </w:rPr>
        <w:t>5.2 园区内企业</w:t>
      </w:r>
    </w:p>
    <w:p w14:paraId="6E45CEDB">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园区内企业为法律实体，或法律实体中被明确界定的一部分，对碳计量过程承担法律责任。园区内各企业应确定对碳计量过程全权负责的管理层</w:t>
      </w:r>
      <w:r>
        <w:rPr>
          <w:rFonts w:hint="eastAsia" w:ascii="宋体" w:hAnsi="宋体" w:eastAsia="宋体" w:cs="宋体"/>
          <w:spacing w:val="-19"/>
          <w:sz w:val="24"/>
          <w:szCs w:val="24"/>
          <w:lang w:eastAsia="zh-CN"/>
        </w:rPr>
        <w:t>，</w:t>
      </w:r>
      <w:r>
        <w:rPr>
          <w:rFonts w:ascii="宋体" w:hAnsi="宋体" w:eastAsia="宋体" w:cs="宋体"/>
          <w:spacing w:val="-19"/>
          <w:sz w:val="24"/>
          <w:szCs w:val="24"/>
          <w:lang w:eastAsia="zh-CN"/>
        </w:rPr>
        <w:t>规定对碳计量活动结果有影响的所有管理、操作或验证人员的职责、权利和相互关系；形成</w:t>
      </w:r>
      <w:bookmarkStart w:id="28" w:name="bookmark22"/>
      <w:bookmarkEnd w:id="28"/>
      <w:r>
        <w:rPr>
          <w:rFonts w:ascii="宋体" w:hAnsi="宋体" w:eastAsia="宋体" w:cs="宋体"/>
          <w:spacing w:val="-19"/>
          <w:sz w:val="24"/>
          <w:szCs w:val="24"/>
          <w:lang w:eastAsia="zh-CN"/>
        </w:rPr>
        <w:t>程序文件，以确保碳计量活动实施的一致性和结果有效性。</w:t>
      </w:r>
    </w:p>
    <w:p w14:paraId="63E722E3">
      <w:pPr>
        <w:spacing w:line="360" w:lineRule="auto"/>
        <w:outlineLvl w:val="0"/>
        <w:rPr>
          <w:rFonts w:ascii="黑体" w:hAnsi="黑体" w:eastAsia="黑体" w:cs="黑体"/>
          <w:spacing w:val="-6"/>
          <w:sz w:val="24"/>
          <w:szCs w:val="24"/>
          <w:lang w:eastAsia="zh-CN"/>
        </w:rPr>
      </w:pPr>
      <w:bookmarkStart w:id="29" w:name="bookmark26"/>
      <w:bookmarkEnd w:id="29"/>
      <w:bookmarkStart w:id="30" w:name="bookmark21"/>
      <w:bookmarkEnd w:id="30"/>
      <w:bookmarkStart w:id="31" w:name="bookmark25"/>
      <w:bookmarkEnd w:id="31"/>
      <w:bookmarkStart w:id="32" w:name="_Toc190246700"/>
      <w:r>
        <w:rPr>
          <w:rFonts w:ascii="黑体" w:hAnsi="黑体" w:eastAsia="黑体" w:cs="黑体"/>
          <w:spacing w:val="-6"/>
          <w:sz w:val="24"/>
          <w:szCs w:val="24"/>
          <w:lang w:eastAsia="zh-CN"/>
        </w:rPr>
        <w:t>6.资源</w:t>
      </w:r>
      <w:r>
        <w:rPr>
          <w:rFonts w:hint="eastAsia" w:ascii="黑体" w:hAnsi="黑体" w:eastAsia="黑体" w:cs="黑体"/>
          <w:spacing w:val="-6"/>
          <w:sz w:val="24"/>
          <w:szCs w:val="24"/>
          <w:lang w:eastAsia="zh-CN"/>
        </w:rPr>
        <w:t>配备</w:t>
      </w:r>
      <w:bookmarkEnd w:id="32"/>
    </w:p>
    <w:p w14:paraId="351B26CD">
      <w:pPr>
        <w:spacing w:line="360" w:lineRule="auto"/>
        <w:ind w:firstLine="404" w:firstLineChars="200"/>
        <w:rPr>
          <w:rFonts w:ascii="宋体" w:hAnsi="宋体" w:eastAsia="宋体" w:cs="宋体"/>
          <w:spacing w:val="-19"/>
          <w:sz w:val="24"/>
          <w:szCs w:val="24"/>
          <w:lang w:eastAsia="zh-CN"/>
        </w:rPr>
      </w:pPr>
      <w:bookmarkStart w:id="33" w:name="bookmark27"/>
      <w:bookmarkEnd w:id="33"/>
      <w:bookmarkStart w:id="34" w:name="bookmark28"/>
      <w:bookmarkEnd w:id="34"/>
      <w:r>
        <w:rPr>
          <w:rFonts w:ascii="宋体" w:hAnsi="宋体" w:eastAsia="宋体" w:cs="宋体"/>
          <w:spacing w:val="-19"/>
          <w:sz w:val="24"/>
          <w:szCs w:val="24"/>
          <w:lang w:eastAsia="zh-CN"/>
        </w:rPr>
        <w:t>6.1 总则</w:t>
      </w:r>
    </w:p>
    <w:p w14:paraId="679CF65C">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零碳产业园应根据计量法律法规、强制性规范文件要求和碳排放配额，确定碳计量目标并形成文件。零碳计量目标由主管零碳产业园</w:t>
      </w:r>
      <w:r>
        <w:rPr>
          <w:rFonts w:hint="eastAsia" w:ascii="宋体" w:hAnsi="宋体" w:eastAsia="宋体" w:cs="宋体"/>
          <w:spacing w:val="-19"/>
          <w:sz w:val="24"/>
          <w:szCs w:val="24"/>
          <w:lang w:eastAsia="zh-CN"/>
        </w:rPr>
        <w:t>碳</w:t>
      </w:r>
      <w:r>
        <w:rPr>
          <w:rFonts w:ascii="宋体" w:hAnsi="宋体" w:eastAsia="宋体" w:cs="宋体"/>
          <w:spacing w:val="-19"/>
          <w:sz w:val="24"/>
          <w:szCs w:val="24"/>
          <w:lang w:eastAsia="zh-CN"/>
        </w:rPr>
        <w:t>计量</w:t>
      </w:r>
      <w:r>
        <w:rPr>
          <w:rFonts w:hint="eastAsia" w:ascii="宋体" w:hAnsi="宋体" w:eastAsia="宋体" w:cs="宋体"/>
          <w:spacing w:val="-19"/>
          <w:sz w:val="24"/>
          <w:szCs w:val="24"/>
          <w:lang w:eastAsia="zh-CN"/>
        </w:rPr>
        <w:t>工作的</w:t>
      </w:r>
      <w:r>
        <w:rPr>
          <w:rFonts w:ascii="宋体" w:hAnsi="宋体" w:eastAsia="宋体" w:cs="宋体"/>
          <w:spacing w:val="-19"/>
          <w:sz w:val="24"/>
          <w:szCs w:val="24"/>
          <w:lang w:eastAsia="zh-CN"/>
        </w:rPr>
        <w:t>最高管理者授权发布，并制定零碳计量目标的测量方法和实施方案，定期对目标实施情况进行评审并保存记录。</w:t>
      </w:r>
    </w:p>
    <w:p w14:paraId="6DF625C9">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园区</w:t>
      </w:r>
      <w:r>
        <w:rPr>
          <w:rFonts w:ascii="宋体" w:hAnsi="宋体" w:eastAsia="宋体" w:cs="宋体"/>
          <w:spacing w:val="-19"/>
          <w:sz w:val="24"/>
          <w:szCs w:val="24"/>
          <w:lang w:eastAsia="zh-CN"/>
        </w:rPr>
        <w:t>各企业</w:t>
      </w:r>
      <w:r>
        <w:rPr>
          <w:rFonts w:hint="eastAsia" w:ascii="宋体" w:hAnsi="宋体" w:eastAsia="宋体" w:cs="宋体"/>
          <w:spacing w:val="-19"/>
          <w:sz w:val="24"/>
          <w:szCs w:val="24"/>
          <w:lang w:eastAsia="zh-CN"/>
        </w:rPr>
        <w:t>根据园区碳计量目标制定符合自身要求的碳计量目标，</w:t>
      </w:r>
      <w:r>
        <w:rPr>
          <w:rFonts w:ascii="宋体" w:hAnsi="宋体" w:eastAsia="宋体" w:cs="宋体"/>
          <w:spacing w:val="-19"/>
          <w:sz w:val="24"/>
          <w:szCs w:val="24"/>
          <w:lang w:eastAsia="zh-CN"/>
        </w:rPr>
        <w:t>应配备管理和实施碳计量活动所需的人员、设备、系统及支持服务。</w:t>
      </w:r>
    </w:p>
    <w:p w14:paraId="3EABA039">
      <w:pPr>
        <w:spacing w:line="360" w:lineRule="auto"/>
        <w:ind w:firstLine="404" w:firstLineChars="200"/>
        <w:rPr>
          <w:rFonts w:ascii="宋体" w:hAnsi="宋体" w:eastAsia="宋体" w:cs="宋体"/>
          <w:spacing w:val="-19"/>
          <w:sz w:val="24"/>
          <w:szCs w:val="24"/>
          <w:lang w:eastAsia="zh-CN"/>
        </w:rPr>
      </w:pPr>
      <w:bookmarkStart w:id="35" w:name="bookmark30"/>
      <w:bookmarkEnd w:id="35"/>
      <w:bookmarkStart w:id="36" w:name="bookmark29"/>
      <w:bookmarkEnd w:id="36"/>
      <w:r>
        <w:rPr>
          <w:rFonts w:ascii="宋体" w:hAnsi="宋体" w:eastAsia="宋体" w:cs="宋体"/>
          <w:spacing w:val="-19"/>
          <w:sz w:val="24"/>
          <w:szCs w:val="24"/>
          <w:lang w:eastAsia="zh-CN"/>
        </w:rPr>
        <w:t>6.2 人员</w:t>
      </w:r>
    </w:p>
    <w:p w14:paraId="7989999E">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6.2.1 人员配备</w:t>
      </w:r>
    </w:p>
    <w:p w14:paraId="52490FFC">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 xml:space="preserve">6.2.1.1 </w:t>
      </w:r>
      <w:r>
        <w:rPr>
          <w:rFonts w:ascii="宋体" w:hAnsi="宋体" w:eastAsia="宋体" w:cs="宋体"/>
          <w:spacing w:val="-19"/>
          <w:sz w:val="24"/>
          <w:szCs w:val="24"/>
          <w:lang w:eastAsia="zh-CN"/>
        </w:rPr>
        <w:t>零碳产业园</w:t>
      </w:r>
      <w:bookmarkStart w:id="37" w:name="OLE_LINK6"/>
      <w:bookmarkStart w:id="38" w:name="OLE_LINK5"/>
      <w:r>
        <w:rPr>
          <w:rFonts w:hint="eastAsia" w:ascii="宋体" w:hAnsi="宋体" w:eastAsia="宋体" w:cs="宋体"/>
          <w:spacing w:val="-19"/>
          <w:sz w:val="24"/>
          <w:szCs w:val="24"/>
          <w:lang w:eastAsia="zh-CN"/>
        </w:rPr>
        <w:t>计量管理部门</w:t>
      </w:r>
      <w:bookmarkEnd w:id="37"/>
      <w:bookmarkEnd w:id="38"/>
      <w:r>
        <w:rPr>
          <w:rFonts w:hint="eastAsia" w:ascii="宋体" w:hAnsi="宋体" w:eastAsia="宋体" w:cs="宋体"/>
          <w:spacing w:val="-19"/>
          <w:sz w:val="24"/>
          <w:szCs w:val="24"/>
          <w:lang w:eastAsia="zh-CN"/>
        </w:rPr>
        <w:t>应确定碳计量最高管理者，全面负责碳计量工作；</w:t>
      </w:r>
    </w:p>
    <w:p w14:paraId="425A3B15">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 xml:space="preserve">6.2.1.2 </w:t>
      </w:r>
      <w:r>
        <w:rPr>
          <w:rFonts w:ascii="宋体" w:hAnsi="宋体" w:eastAsia="宋体" w:cs="宋体"/>
          <w:spacing w:val="-19"/>
          <w:sz w:val="24"/>
          <w:szCs w:val="24"/>
          <w:lang w:eastAsia="zh-CN"/>
        </w:rPr>
        <w:t>零碳产业园</w:t>
      </w:r>
      <w:r>
        <w:rPr>
          <w:rFonts w:hint="eastAsia" w:ascii="宋体" w:hAnsi="宋体" w:eastAsia="宋体" w:cs="宋体"/>
          <w:spacing w:val="-19"/>
          <w:sz w:val="24"/>
          <w:szCs w:val="24"/>
          <w:lang w:eastAsia="zh-CN"/>
        </w:rPr>
        <w:t>计量管理部门应确定配备分管负责人，组织碳计量管理制度实施；；</w:t>
      </w:r>
    </w:p>
    <w:p w14:paraId="5BDE6469">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 xml:space="preserve">6.2.1.3 </w:t>
      </w:r>
      <w:r>
        <w:rPr>
          <w:rFonts w:ascii="宋体" w:hAnsi="宋体" w:eastAsia="宋体" w:cs="宋体"/>
          <w:spacing w:val="-19"/>
          <w:sz w:val="24"/>
          <w:szCs w:val="24"/>
          <w:lang w:eastAsia="zh-CN"/>
        </w:rPr>
        <w:t>零碳产业园</w:t>
      </w:r>
      <w:r>
        <w:rPr>
          <w:rFonts w:hint="eastAsia" w:ascii="宋体" w:hAnsi="宋体" w:eastAsia="宋体" w:cs="宋体"/>
          <w:spacing w:val="-19"/>
          <w:sz w:val="24"/>
          <w:szCs w:val="24"/>
          <w:lang w:eastAsia="zh-CN"/>
        </w:rPr>
        <w:t>各企业应根据业务需求配备专业碳计量管理人员，确保职责落实；</w:t>
      </w:r>
    </w:p>
    <w:p w14:paraId="4AEB40B1">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6.2.1.4 零碳产业园各企业应设碳计量技术人员负责碳排放计量器具管理（配备、安装、检定/校准、维护、报废）和碳计量数据管理（采集、统计、分析）。</w:t>
      </w:r>
    </w:p>
    <w:p w14:paraId="37EED481">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6.2.2 人员职责</w:t>
      </w:r>
    </w:p>
    <w:p w14:paraId="62B91714">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 xml:space="preserve">6.2.2.1 </w:t>
      </w:r>
      <w:r>
        <w:rPr>
          <w:rFonts w:hint="eastAsia" w:ascii="MS Mincho" w:hAnsi="MS Mincho" w:eastAsia="MS Mincho" w:cs="MS Mincho"/>
          <w:spacing w:val="-19"/>
          <w:sz w:val="24"/>
          <w:szCs w:val="24"/>
          <w:lang w:eastAsia="zh-CN"/>
        </w:rPr>
        <w:t>​​</w:t>
      </w:r>
      <w:r>
        <w:rPr>
          <w:rFonts w:hint="eastAsia" w:ascii="宋体" w:hAnsi="宋体" w:eastAsia="宋体" w:cs="宋体"/>
          <w:spacing w:val="-19"/>
          <w:sz w:val="24"/>
          <w:szCs w:val="24"/>
          <w:lang w:eastAsia="zh-CN"/>
        </w:rPr>
        <w:t>最高管理者职责</w:t>
      </w:r>
      <w:r>
        <w:rPr>
          <w:rFonts w:hint="eastAsia" w:ascii="MS Mincho" w:hAnsi="MS Mincho" w:eastAsia="MS Mincho" w:cs="MS Mincho"/>
          <w:spacing w:val="-19"/>
          <w:sz w:val="24"/>
          <w:szCs w:val="24"/>
          <w:lang w:eastAsia="zh-CN"/>
        </w:rPr>
        <w:t>​​</w:t>
      </w:r>
      <w:r>
        <w:rPr>
          <w:rFonts w:hint="eastAsia" w:cs="MS Mincho" w:asciiTheme="minorEastAsia" w:hAnsiTheme="minorEastAsia"/>
          <w:spacing w:val="-19"/>
          <w:sz w:val="24"/>
          <w:szCs w:val="24"/>
          <w:lang w:eastAsia="zh-CN"/>
        </w:rPr>
        <w:t>：</w:t>
      </w:r>
      <w:r>
        <w:rPr>
          <w:rFonts w:hint="eastAsia" w:ascii="宋体" w:hAnsi="宋体" w:eastAsia="宋体" w:cs="宋体"/>
          <w:spacing w:val="-19"/>
          <w:sz w:val="24"/>
          <w:szCs w:val="24"/>
          <w:lang w:eastAsia="zh-CN"/>
        </w:rPr>
        <w:t>对碳计量工作负总责，宣贯碳计量重要性及法律法规要求，组织制定碳计量目标；配置碳计量目标所需资源，决定碳计量工作的改进措施。</w:t>
      </w:r>
    </w:p>
    <w:p w14:paraId="2258CA9B">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6.2.2.2 分管负责人：建立、实施碳计量管理制度；组织对具体碳计量工作的实施；提出改进碳计量工作的建议。</w:t>
      </w:r>
    </w:p>
    <w:p w14:paraId="0B746A5A">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6.2.2.3 企业碳</w:t>
      </w:r>
      <w:r>
        <w:rPr>
          <w:rFonts w:ascii="宋体" w:hAnsi="宋体" w:eastAsia="宋体" w:cs="宋体"/>
          <w:spacing w:val="-19"/>
          <w:sz w:val="24"/>
          <w:szCs w:val="24"/>
          <w:lang w:eastAsia="zh-CN"/>
        </w:rPr>
        <w:t>计量管理</w:t>
      </w:r>
      <w:r>
        <w:rPr>
          <w:rFonts w:hint="eastAsia" w:ascii="宋体" w:hAnsi="宋体" w:eastAsia="宋体" w:cs="宋体"/>
          <w:spacing w:val="-19"/>
          <w:sz w:val="24"/>
          <w:szCs w:val="24"/>
          <w:lang w:eastAsia="zh-CN"/>
        </w:rPr>
        <w:t>人员：根据园区碳计量目标，制定本企业碳计量目标，</w:t>
      </w:r>
      <w:r>
        <w:rPr>
          <w:rFonts w:ascii="宋体" w:hAnsi="宋体" w:eastAsia="宋体" w:cs="宋体"/>
          <w:spacing w:val="-19"/>
          <w:sz w:val="24"/>
          <w:szCs w:val="24"/>
          <w:lang w:eastAsia="zh-CN"/>
        </w:rPr>
        <w:t>保证碳计量职责和管理制度落实到位。</w:t>
      </w:r>
    </w:p>
    <w:p w14:paraId="10A9136C">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6.2.2.4 企业碳计量技术人员：</w:t>
      </w:r>
      <w:r>
        <w:rPr>
          <w:rFonts w:ascii="宋体" w:hAnsi="宋体" w:eastAsia="宋体" w:cs="宋体"/>
          <w:spacing w:val="-19"/>
          <w:sz w:val="24"/>
          <w:szCs w:val="24"/>
          <w:lang w:eastAsia="zh-CN"/>
        </w:rPr>
        <w:t>负责</w:t>
      </w:r>
      <w:r>
        <w:rPr>
          <w:rFonts w:hint="eastAsia" w:ascii="宋体" w:hAnsi="宋体" w:eastAsia="宋体" w:cs="宋体"/>
          <w:spacing w:val="-19"/>
          <w:sz w:val="24"/>
          <w:szCs w:val="24"/>
          <w:lang w:eastAsia="zh-CN"/>
        </w:rPr>
        <w:t>碳排放计量器具</w:t>
      </w:r>
      <w:r>
        <w:rPr>
          <w:rFonts w:ascii="宋体" w:hAnsi="宋体" w:eastAsia="宋体" w:cs="宋体"/>
          <w:spacing w:val="-19"/>
          <w:sz w:val="24"/>
          <w:szCs w:val="24"/>
          <w:lang w:eastAsia="zh-CN"/>
        </w:rPr>
        <w:t>配备、</w:t>
      </w:r>
      <w:r>
        <w:rPr>
          <w:rFonts w:hint="eastAsia" w:ascii="宋体" w:hAnsi="宋体" w:eastAsia="宋体" w:cs="宋体"/>
          <w:spacing w:val="-19"/>
          <w:sz w:val="24"/>
          <w:szCs w:val="24"/>
          <w:lang w:eastAsia="zh-CN"/>
        </w:rPr>
        <w:t>安装、</w:t>
      </w:r>
      <w:r>
        <w:rPr>
          <w:rFonts w:ascii="宋体" w:hAnsi="宋体" w:eastAsia="宋体" w:cs="宋体"/>
          <w:spacing w:val="-19"/>
          <w:sz w:val="24"/>
          <w:szCs w:val="24"/>
          <w:lang w:eastAsia="zh-CN"/>
        </w:rPr>
        <w:t>使用、检定/校准、维护、报废等工作，依法实施碳排放计量器具的检定/校准，确保计量器具量值的准确可靠；满足碳计量分类、分级、分项考核的要求</w:t>
      </w:r>
      <w:r>
        <w:rPr>
          <w:rFonts w:hint="eastAsia" w:ascii="宋体" w:hAnsi="宋体" w:eastAsia="宋体" w:cs="宋体"/>
          <w:spacing w:val="-19"/>
          <w:sz w:val="24"/>
          <w:szCs w:val="24"/>
          <w:lang w:eastAsia="zh-CN"/>
        </w:rPr>
        <w:t>；</w:t>
      </w:r>
      <w:r>
        <w:rPr>
          <w:rFonts w:ascii="宋体" w:hAnsi="宋体" w:eastAsia="宋体" w:cs="宋体"/>
          <w:spacing w:val="-19"/>
          <w:sz w:val="24"/>
          <w:szCs w:val="24"/>
          <w:lang w:eastAsia="zh-CN"/>
        </w:rPr>
        <w:t>负责</w:t>
      </w:r>
      <w:r>
        <w:rPr>
          <w:rFonts w:hint="eastAsia" w:ascii="宋体" w:hAnsi="宋体" w:eastAsia="宋体" w:cs="宋体"/>
          <w:spacing w:val="-19"/>
          <w:sz w:val="24"/>
          <w:szCs w:val="24"/>
          <w:lang w:eastAsia="zh-CN"/>
        </w:rPr>
        <w:t>碳</w:t>
      </w:r>
      <w:r>
        <w:rPr>
          <w:rFonts w:ascii="宋体" w:hAnsi="宋体" w:eastAsia="宋体" w:cs="宋体"/>
          <w:spacing w:val="-19"/>
          <w:sz w:val="24"/>
          <w:szCs w:val="24"/>
          <w:lang w:eastAsia="zh-CN"/>
        </w:rPr>
        <w:t>计量数据采集、统计、分析，保证计量数据完整、真实、准确。</w:t>
      </w:r>
    </w:p>
    <w:p w14:paraId="744A89C2">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 xml:space="preserve">6.2.3 </w:t>
      </w:r>
      <w:r>
        <w:rPr>
          <w:rFonts w:ascii="宋体" w:hAnsi="宋体" w:eastAsia="宋体" w:cs="宋体"/>
          <w:spacing w:val="-19"/>
          <w:sz w:val="24"/>
          <w:szCs w:val="24"/>
          <w:lang w:eastAsia="zh-CN"/>
        </w:rPr>
        <w:t>人员培训</w:t>
      </w:r>
    </w:p>
    <w:p w14:paraId="6E7DA076">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零碳产业园从</w:t>
      </w:r>
      <w:bookmarkStart w:id="39" w:name="OLE_LINK4"/>
      <w:r>
        <w:rPr>
          <w:rFonts w:ascii="宋体" w:hAnsi="宋体" w:eastAsia="宋体" w:cs="宋体"/>
          <w:spacing w:val="-19"/>
          <w:sz w:val="24"/>
          <w:szCs w:val="24"/>
          <w:lang w:eastAsia="zh-CN"/>
        </w:rPr>
        <w:t>事</w:t>
      </w:r>
      <w:r>
        <w:rPr>
          <w:rFonts w:hint="eastAsia" w:ascii="宋体" w:hAnsi="宋体" w:eastAsia="宋体" w:cs="宋体"/>
          <w:spacing w:val="-19"/>
          <w:sz w:val="24"/>
          <w:szCs w:val="24"/>
          <w:lang w:eastAsia="zh-CN"/>
        </w:rPr>
        <w:t>碳</w:t>
      </w:r>
      <w:r>
        <w:rPr>
          <w:rFonts w:ascii="宋体" w:hAnsi="宋体" w:eastAsia="宋体" w:cs="宋体"/>
          <w:spacing w:val="-19"/>
          <w:sz w:val="24"/>
          <w:szCs w:val="24"/>
          <w:lang w:eastAsia="zh-CN"/>
        </w:rPr>
        <w:t>计量</w:t>
      </w:r>
      <w:bookmarkEnd w:id="39"/>
      <w:r>
        <w:rPr>
          <w:rFonts w:ascii="宋体" w:hAnsi="宋体" w:eastAsia="宋体" w:cs="宋体"/>
          <w:spacing w:val="-19"/>
          <w:sz w:val="24"/>
          <w:szCs w:val="24"/>
          <w:lang w:eastAsia="zh-CN"/>
        </w:rPr>
        <w:t>管理、计量器具维护、计量数据采集、计量数据统计分析等人员，应掌握从事岗位所需的专业技术和业务知识，具备</w:t>
      </w:r>
      <w:r>
        <w:rPr>
          <w:rFonts w:hint="eastAsia" w:ascii="宋体" w:hAnsi="宋体" w:eastAsia="宋体" w:cs="宋体"/>
          <w:spacing w:val="-19"/>
          <w:sz w:val="24"/>
          <w:szCs w:val="24"/>
          <w:lang w:eastAsia="zh-CN"/>
        </w:rPr>
        <w:t>碳</w:t>
      </w:r>
      <w:r>
        <w:rPr>
          <w:rFonts w:ascii="宋体" w:hAnsi="宋体" w:eastAsia="宋体" w:cs="宋体"/>
          <w:spacing w:val="-19"/>
          <w:sz w:val="24"/>
          <w:szCs w:val="24"/>
          <w:lang w:eastAsia="zh-CN"/>
        </w:rPr>
        <w:t>计量技术和业务能力</w:t>
      </w:r>
      <w:r>
        <w:rPr>
          <w:rFonts w:hint="eastAsia" w:ascii="宋体" w:hAnsi="宋体" w:eastAsia="宋体" w:cs="宋体"/>
          <w:spacing w:val="-19"/>
          <w:sz w:val="24"/>
          <w:szCs w:val="24"/>
          <w:lang w:eastAsia="zh-CN"/>
        </w:rPr>
        <w:t>，</w:t>
      </w:r>
      <w:r>
        <w:rPr>
          <w:rFonts w:ascii="宋体" w:hAnsi="宋体" w:eastAsia="宋体" w:cs="宋体"/>
          <w:spacing w:val="-19"/>
          <w:sz w:val="24"/>
          <w:szCs w:val="24"/>
          <w:lang w:eastAsia="zh-CN"/>
        </w:rPr>
        <w:t>定期接受培训。</w:t>
      </w:r>
    </w:p>
    <w:p w14:paraId="77504F89">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6.2.4 人员资质</w:t>
      </w:r>
    </w:p>
    <w:p w14:paraId="51D92CB8">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零碳产业园从事</w:t>
      </w:r>
      <w:r>
        <w:rPr>
          <w:rFonts w:hint="eastAsia" w:ascii="宋体" w:hAnsi="宋体" w:eastAsia="宋体" w:cs="宋体"/>
          <w:spacing w:val="-19"/>
          <w:sz w:val="24"/>
          <w:szCs w:val="24"/>
          <w:lang w:eastAsia="zh-CN"/>
        </w:rPr>
        <w:t>碳</w:t>
      </w:r>
      <w:r>
        <w:rPr>
          <w:rFonts w:ascii="宋体" w:hAnsi="宋体" w:eastAsia="宋体" w:cs="宋体"/>
          <w:spacing w:val="-19"/>
          <w:sz w:val="24"/>
          <w:szCs w:val="24"/>
          <w:lang w:eastAsia="zh-CN"/>
        </w:rPr>
        <w:t>计量的人员应通过相关培训考核，取得相应资质。</w:t>
      </w:r>
      <w:r>
        <w:rPr>
          <w:rFonts w:hint="eastAsia" w:ascii="宋体" w:hAnsi="宋体" w:eastAsia="宋体" w:cs="宋体"/>
          <w:spacing w:val="-19"/>
          <w:sz w:val="24"/>
          <w:szCs w:val="24"/>
          <w:lang w:eastAsia="zh-CN"/>
        </w:rPr>
        <w:t>零碳产业园各企业应建立和保存碳计量管理人员的技术档案（含培训记录、考核结果、资质证明）。</w:t>
      </w:r>
    </w:p>
    <w:p w14:paraId="6EBE227F">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6.3 碳</w:t>
      </w:r>
      <w:r>
        <w:rPr>
          <w:rFonts w:hint="eastAsia" w:ascii="宋体" w:hAnsi="宋体" w:eastAsia="宋体" w:cs="宋体"/>
          <w:spacing w:val="-19"/>
          <w:sz w:val="24"/>
          <w:szCs w:val="24"/>
          <w:lang w:eastAsia="zh-CN"/>
        </w:rPr>
        <w:t>排放</w:t>
      </w:r>
      <w:r>
        <w:rPr>
          <w:rFonts w:ascii="宋体" w:hAnsi="宋体" w:eastAsia="宋体" w:cs="宋体"/>
          <w:spacing w:val="-19"/>
          <w:sz w:val="24"/>
          <w:szCs w:val="24"/>
          <w:lang w:eastAsia="zh-CN"/>
        </w:rPr>
        <w:t>计量器具配置</w:t>
      </w:r>
    </w:p>
    <w:p w14:paraId="3E1750D4">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6.3.1 零碳产业园内以计量碳排放因子的计量器具应依据JJF（皖）197-2025《重点排放单位碳排放计量器具配备及管理技术规范》指导配备，以计量碳排放活动数据的计量器具应依据GB 17167-2025《用能单位能源计量器具配备和管理通则》指导配备。</w:t>
      </w:r>
    </w:p>
    <w:p w14:paraId="03A3D428">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6.3.2</w:t>
      </w:r>
      <w:r>
        <w:rPr>
          <w:rFonts w:ascii="宋体" w:hAnsi="宋体" w:eastAsia="宋体" w:cs="宋体"/>
          <w:spacing w:val="-19"/>
          <w:sz w:val="24"/>
          <w:szCs w:val="24"/>
          <w:lang w:eastAsia="zh-CN"/>
        </w:rPr>
        <w:t>园</w:t>
      </w:r>
      <w:r>
        <w:rPr>
          <w:rFonts w:hint="eastAsia" w:ascii="宋体" w:hAnsi="宋体" w:eastAsia="宋体" w:cs="宋体"/>
          <w:spacing w:val="-19"/>
          <w:sz w:val="24"/>
          <w:szCs w:val="24"/>
          <w:lang w:eastAsia="zh-CN"/>
        </w:rPr>
        <w:t>区碳</w:t>
      </w:r>
      <w:r>
        <w:rPr>
          <w:rFonts w:ascii="宋体" w:hAnsi="宋体" w:eastAsia="宋体" w:cs="宋体"/>
          <w:spacing w:val="-19"/>
          <w:sz w:val="24"/>
          <w:szCs w:val="24"/>
          <w:lang w:eastAsia="zh-CN"/>
        </w:rPr>
        <w:t>计量主管部门对各类碳排放计量器具实施监督管理，</w:t>
      </w:r>
      <w:r>
        <w:rPr>
          <w:rFonts w:hint="eastAsia" w:ascii="宋体" w:hAnsi="宋体" w:eastAsia="宋体" w:cs="宋体"/>
          <w:spacing w:val="-19"/>
          <w:sz w:val="24"/>
          <w:szCs w:val="24"/>
          <w:lang w:eastAsia="zh-CN"/>
        </w:rPr>
        <w:t>定期组织专家对园区内企业开展碳排放计量审查。</w:t>
      </w:r>
    </w:p>
    <w:p w14:paraId="5A20EB9E">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6.3.3园区内</w:t>
      </w:r>
      <w:r>
        <w:rPr>
          <w:rFonts w:ascii="宋体" w:hAnsi="宋体" w:eastAsia="宋体" w:cs="宋体"/>
          <w:spacing w:val="-19"/>
          <w:sz w:val="24"/>
          <w:szCs w:val="24"/>
          <w:lang w:eastAsia="zh-CN"/>
        </w:rPr>
        <w:t>企业负责建立各自设备台帐并报主管零碳产业园管委会的计量主管部门汇总成总台帐</w:t>
      </w:r>
      <w:r>
        <w:rPr>
          <w:rFonts w:hint="eastAsia" w:ascii="宋体" w:hAnsi="宋体" w:eastAsia="宋体" w:cs="宋体"/>
          <w:spacing w:val="-19"/>
          <w:sz w:val="24"/>
          <w:szCs w:val="24"/>
          <w:lang w:eastAsia="zh-CN"/>
        </w:rPr>
        <w:t>，</w:t>
      </w:r>
      <w:r>
        <w:rPr>
          <w:rFonts w:ascii="宋体" w:hAnsi="宋体" w:eastAsia="宋体" w:cs="宋体"/>
          <w:spacing w:val="-19"/>
          <w:sz w:val="24"/>
          <w:szCs w:val="24"/>
          <w:lang w:eastAsia="zh-CN"/>
        </w:rPr>
        <w:t>并负责碳排放计量器具的正常流转，包括计量器具的封存、启封、停用、启用、报废等。</w:t>
      </w:r>
    </w:p>
    <w:p w14:paraId="7620053D">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6.3.4</w:t>
      </w:r>
      <w:r>
        <w:rPr>
          <w:rFonts w:ascii="宋体" w:hAnsi="宋体" w:eastAsia="宋体" w:cs="宋体"/>
          <w:spacing w:val="-19"/>
          <w:sz w:val="24"/>
          <w:szCs w:val="24"/>
          <w:lang w:eastAsia="zh-CN"/>
        </w:rPr>
        <w:t>碳排放计量器具在</w:t>
      </w:r>
      <w:r>
        <w:rPr>
          <w:rFonts w:hint="eastAsia" w:ascii="宋体" w:hAnsi="宋体" w:eastAsia="宋体" w:cs="宋体"/>
          <w:spacing w:val="-19"/>
          <w:sz w:val="24"/>
          <w:szCs w:val="24"/>
          <w:lang w:eastAsia="zh-CN"/>
        </w:rPr>
        <w:t>安装、</w:t>
      </w:r>
      <w:r>
        <w:rPr>
          <w:rFonts w:ascii="宋体" w:hAnsi="宋体" w:eastAsia="宋体" w:cs="宋体"/>
          <w:spacing w:val="-19"/>
          <w:sz w:val="24"/>
          <w:szCs w:val="24"/>
          <w:lang w:eastAsia="zh-CN"/>
        </w:rPr>
        <w:t>投入使用前应进行检定或校准。</w:t>
      </w:r>
      <w:r>
        <w:rPr>
          <w:rFonts w:hint="eastAsia" w:ascii="宋体" w:hAnsi="宋体" w:eastAsia="宋体" w:cs="宋体"/>
          <w:spacing w:val="-19"/>
          <w:sz w:val="24"/>
          <w:szCs w:val="24"/>
          <w:lang w:eastAsia="zh-CN"/>
        </w:rPr>
        <w:t>投入运行的</w:t>
      </w:r>
      <w:r>
        <w:rPr>
          <w:rFonts w:ascii="宋体" w:hAnsi="宋体" w:eastAsia="宋体" w:cs="宋体"/>
          <w:spacing w:val="-19"/>
          <w:sz w:val="24"/>
          <w:szCs w:val="24"/>
          <w:lang w:eastAsia="zh-CN"/>
        </w:rPr>
        <w:t>强制管理计量器具实行定点定期检定，并溯源至社会公用计量标准。其它计量器具，可以采用适合方式实现有效溯源</w:t>
      </w:r>
      <w:r>
        <w:rPr>
          <w:rFonts w:hint="eastAsia" w:ascii="宋体" w:hAnsi="宋体" w:eastAsia="宋体" w:cs="宋体"/>
          <w:spacing w:val="-19"/>
          <w:sz w:val="24"/>
          <w:szCs w:val="24"/>
          <w:lang w:eastAsia="zh-CN"/>
        </w:rPr>
        <w:t>，</w:t>
      </w:r>
      <w:r>
        <w:rPr>
          <w:rFonts w:ascii="宋体" w:hAnsi="宋体" w:eastAsia="宋体" w:cs="宋体"/>
          <w:spacing w:val="-19"/>
          <w:sz w:val="24"/>
          <w:szCs w:val="24"/>
          <w:lang w:eastAsia="zh-CN"/>
        </w:rPr>
        <w:t>确保其在可控的范围内使用，测量结果准确有效。</w:t>
      </w:r>
    </w:p>
    <w:p w14:paraId="1F0CB96D">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6.4 碳计量技术应用推广</w:t>
      </w:r>
    </w:p>
    <w:p w14:paraId="1110E1D4">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 xml:space="preserve">6.4.1 零碳产业园区宜采用5G、物联网、区块链等技术搭建能源与碳排放数据采集平台，实时监控园区内重点排放源的能耗及碳排放动态，实现数据透明化与可追溯。  </w:t>
      </w:r>
    </w:p>
    <w:p w14:paraId="7D02B726">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6.4.2 零碳产业园应鼓励企业研制、应用碳排放监测仪器（如高精度气体分析仪、在线监测系统）的计量标准，推动碳捕集利用与封存（CCUS）等关键技术的量化与核查标准。</w:t>
      </w:r>
    </w:p>
    <w:p w14:paraId="30B3AD6D">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6.4.3 零碳产业园应依据碳计量数据建立园区碳排放因子数据库，通过实测验证平台提升数据准确性，例如火电、钢铁等行业的直测与核算方法比对研究。</w:t>
      </w:r>
    </w:p>
    <w:p w14:paraId="19CD0471">
      <w:pPr>
        <w:spacing w:line="360" w:lineRule="auto"/>
        <w:outlineLvl w:val="0"/>
        <w:rPr>
          <w:rFonts w:ascii="黑体" w:hAnsi="黑体" w:eastAsia="黑体" w:cs="黑体"/>
          <w:spacing w:val="-6"/>
          <w:sz w:val="24"/>
          <w:szCs w:val="24"/>
          <w:lang w:eastAsia="zh-CN"/>
        </w:rPr>
      </w:pPr>
      <w:bookmarkStart w:id="40" w:name="_Toc190246701"/>
      <w:r>
        <w:rPr>
          <w:rFonts w:ascii="黑体" w:hAnsi="黑体" w:eastAsia="黑体" w:cs="黑体"/>
          <w:spacing w:val="-6"/>
          <w:sz w:val="24"/>
          <w:szCs w:val="24"/>
          <w:lang w:eastAsia="zh-CN"/>
        </w:rPr>
        <w:t>7.</w:t>
      </w:r>
      <w:r>
        <w:rPr>
          <w:rFonts w:hint="eastAsia" w:ascii="黑体" w:hAnsi="黑体" w:eastAsia="黑体" w:cs="黑体"/>
          <w:spacing w:val="-6"/>
          <w:sz w:val="24"/>
          <w:szCs w:val="24"/>
          <w:lang w:eastAsia="zh-CN"/>
        </w:rPr>
        <w:t>数据</w:t>
      </w:r>
      <w:r>
        <w:rPr>
          <w:rFonts w:ascii="黑体" w:hAnsi="黑体" w:eastAsia="黑体" w:cs="黑体"/>
          <w:spacing w:val="-6"/>
          <w:sz w:val="24"/>
          <w:szCs w:val="24"/>
          <w:lang w:eastAsia="zh-CN"/>
        </w:rPr>
        <w:t>要求</w:t>
      </w:r>
      <w:bookmarkEnd w:id="40"/>
    </w:p>
    <w:p w14:paraId="4F4CC23E">
      <w:pPr>
        <w:spacing w:line="360" w:lineRule="auto"/>
        <w:ind w:firstLine="404" w:firstLineChars="200"/>
        <w:rPr>
          <w:rFonts w:ascii="宋体" w:hAnsi="宋体" w:eastAsia="宋体" w:cs="宋体"/>
          <w:spacing w:val="-19"/>
          <w:sz w:val="24"/>
          <w:szCs w:val="24"/>
          <w:lang w:eastAsia="zh-CN"/>
        </w:rPr>
      </w:pPr>
      <w:bookmarkStart w:id="41" w:name="bookmark35"/>
      <w:bookmarkEnd w:id="41"/>
      <w:bookmarkStart w:id="42" w:name="bookmark36"/>
      <w:bookmarkEnd w:id="42"/>
      <w:r>
        <w:rPr>
          <w:rFonts w:ascii="宋体" w:hAnsi="宋体" w:eastAsia="宋体" w:cs="宋体"/>
          <w:spacing w:val="-19"/>
          <w:sz w:val="24"/>
          <w:szCs w:val="24"/>
          <w:lang w:eastAsia="zh-CN"/>
        </w:rPr>
        <w:t>7.1 总则</w:t>
      </w:r>
    </w:p>
    <w:p w14:paraId="4D4C3171">
      <w:pPr>
        <w:spacing w:line="360" w:lineRule="auto"/>
        <w:ind w:firstLine="404" w:firstLineChars="200"/>
        <w:rPr>
          <w:rFonts w:ascii="宋体" w:hAnsi="宋体" w:eastAsia="宋体" w:cs="宋体"/>
          <w:spacing w:val="-19"/>
          <w:sz w:val="24"/>
          <w:szCs w:val="24"/>
          <w:lang w:eastAsia="zh-CN"/>
        </w:rPr>
      </w:pPr>
      <w:bookmarkStart w:id="43" w:name="bookmark37"/>
      <w:bookmarkEnd w:id="43"/>
      <w:bookmarkStart w:id="44" w:name="bookmark38"/>
      <w:bookmarkEnd w:id="44"/>
      <w:r>
        <w:rPr>
          <w:rFonts w:ascii="宋体" w:hAnsi="宋体" w:eastAsia="宋体" w:cs="宋体"/>
          <w:spacing w:val="-19"/>
          <w:sz w:val="24"/>
          <w:szCs w:val="24"/>
          <w:lang w:eastAsia="zh-CN"/>
        </w:rPr>
        <w:t>碳计量数据采集应与计量器具实际测量结果相符，不得伪造或者篡改计量数据。对碳计量涉及的各种参数进行计量数据采集和记录，记录应完整、真实、准确、可靠、并按规定的期限予以保存，以满足碳计量管理的要求</w:t>
      </w:r>
      <w:r>
        <w:rPr>
          <w:rFonts w:hint="eastAsia" w:ascii="宋体" w:hAnsi="宋体" w:eastAsia="宋体" w:cs="宋体"/>
          <w:spacing w:val="-19"/>
          <w:sz w:val="24"/>
          <w:szCs w:val="24"/>
          <w:lang w:eastAsia="zh-CN"/>
        </w:rPr>
        <w:t>，同时应确保数据安全和隐私保护，防止数据泄露和滥用。</w:t>
      </w:r>
    </w:p>
    <w:p w14:paraId="38401831">
      <w:pPr>
        <w:spacing w:line="360" w:lineRule="auto"/>
        <w:ind w:firstLine="404" w:firstLineChars="200"/>
        <w:rPr>
          <w:rFonts w:ascii="宋体" w:hAnsi="宋体" w:eastAsia="宋体" w:cs="宋体"/>
          <w:sz w:val="24"/>
          <w:szCs w:val="24"/>
          <w:lang w:eastAsia="zh-CN"/>
        </w:rPr>
      </w:pPr>
      <w:r>
        <w:rPr>
          <w:rFonts w:ascii="宋体" w:hAnsi="宋体" w:eastAsia="宋体" w:cs="宋体"/>
          <w:spacing w:val="-19"/>
          <w:sz w:val="24"/>
          <w:szCs w:val="24"/>
          <w:lang w:eastAsia="zh-CN"/>
        </w:rPr>
        <w:t xml:space="preserve">7.2 </w:t>
      </w:r>
      <w:r>
        <w:rPr>
          <w:rFonts w:hint="eastAsia" w:ascii="宋体" w:hAnsi="宋体" w:eastAsia="宋体" w:cs="宋体"/>
          <w:spacing w:val="-19"/>
          <w:sz w:val="24"/>
          <w:szCs w:val="24"/>
          <w:lang w:eastAsia="zh-CN"/>
        </w:rPr>
        <w:t>碳计量数据</w:t>
      </w:r>
      <w:r>
        <w:rPr>
          <w:rFonts w:ascii="宋体" w:hAnsi="宋体" w:eastAsia="宋体" w:cs="宋体"/>
          <w:spacing w:val="-19"/>
          <w:sz w:val="24"/>
          <w:szCs w:val="24"/>
          <w:lang w:eastAsia="zh-CN"/>
        </w:rPr>
        <w:t>统计填报</w:t>
      </w:r>
    </w:p>
    <w:p w14:paraId="7AE137CD">
      <w:pPr>
        <w:spacing w:line="360" w:lineRule="auto"/>
        <w:ind w:firstLine="420" w:firstLineChars="200"/>
        <w:rPr>
          <w:rFonts w:ascii="宋体" w:hAnsi="宋体" w:eastAsia="宋体" w:cs="宋体"/>
          <w:spacing w:val="-19"/>
          <w:sz w:val="24"/>
          <w:szCs w:val="24"/>
          <w:lang w:eastAsia="zh-CN"/>
        </w:rPr>
      </w:pPr>
      <w:r>
        <w:fldChar w:fldCharType="begin"/>
      </w:r>
      <w:r>
        <w:instrText xml:space="preserve"> HYPERLINK "https://baike.baidu.com/item/%E7%BB%9F%E8%AE%A1%E6%8A%A5%E8%A1%A8%E5%88%B6%E5%BA%A6/612099?fromModule=lemma_inlink" </w:instrText>
      </w:r>
      <w:r>
        <w:fldChar w:fldCharType="separate"/>
      </w:r>
      <w:r>
        <w:rPr>
          <w:rFonts w:ascii="宋体" w:hAnsi="宋体" w:eastAsia="宋体" w:cs="宋体"/>
          <w:spacing w:val="-19"/>
          <w:sz w:val="24"/>
          <w:szCs w:val="24"/>
          <w:lang w:eastAsia="zh-CN"/>
        </w:rPr>
        <w:t>应建立碳计量相关能源数据统计报表制度</w:t>
      </w:r>
      <w:r>
        <w:rPr>
          <w:rFonts w:ascii="宋体" w:hAnsi="宋体" w:eastAsia="宋体" w:cs="宋体"/>
          <w:spacing w:val="-19"/>
          <w:sz w:val="24"/>
          <w:szCs w:val="24"/>
          <w:lang w:eastAsia="zh-CN"/>
        </w:rPr>
        <w:fldChar w:fldCharType="end"/>
      </w:r>
      <w:r>
        <w:rPr>
          <w:rFonts w:ascii="宋体" w:hAnsi="宋体" w:eastAsia="宋体" w:cs="宋体"/>
          <w:spacing w:val="-19"/>
          <w:sz w:val="24"/>
          <w:szCs w:val="24"/>
          <w:lang w:eastAsia="zh-CN"/>
        </w:rPr>
        <w:t>，统计报表数据应能追溯至计量记录；碳计量数据记 录应采用规范的表格式样，碳计量测试记录表格应便于数据的汇总与分析，应说明被测量与记录数</w:t>
      </w:r>
      <w:bookmarkStart w:id="45" w:name="bookmark40"/>
      <w:bookmarkEnd w:id="45"/>
      <w:r>
        <w:rPr>
          <w:rFonts w:ascii="宋体" w:hAnsi="宋体" w:eastAsia="宋体" w:cs="宋体"/>
          <w:spacing w:val="-19"/>
          <w:sz w:val="24"/>
          <w:szCs w:val="24"/>
          <w:lang w:eastAsia="zh-CN"/>
        </w:rPr>
        <w:t>据之间的转换方法或关系。</w:t>
      </w:r>
    </w:p>
    <w:p w14:paraId="75E04643">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7.2.1碳计量</w:t>
      </w:r>
      <w:r>
        <w:rPr>
          <w:rFonts w:ascii="宋体" w:hAnsi="宋体" w:eastAsia="宋体" w:cs="宋体"/>
          <w:spacing w:val="-19"/>
          <w:sz w:val="24"/>
          <w:szCs w:val="24"/>
          <w:lang w:eastAsia="zh-CN"/>
        </w:rPr>
        <w:t>数据采集方式</w:t>
      </w:r>
    </w:p>
    <w:p w14:paraId="0A1E4FFA">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 xml:space="preserve">7.2.1.1 </w:t>
      </w:r>
      <w:r>
        <w:rPr>
          <w:rFonts w:ascii="宋体" w:hAnsi="宋体" w:eastAsia="宋体" w:cs="宋体"/>
          <w:spacing w:val="-19"/>
          <w:sz w:val="24"/>
          <w:szCs w:val="24"/>
          <w:lang w:eastAsia="zh-CN"/>
        </w:rPr>
        <w:t>人工采集。使用规范的数据采集记录（抄表记录）格式，由数据采集人员和复核人员签字；</w:t>
      </w:r>
    </w:p>
    <w:p w14:paraId="5C571618">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 xml:space="preserve">7.2.1.2 </w:t>
      </w:r>
      <w:r>
        <w:rPr>
          <w:rFonts w:ascii="宋体" w:hAnsi="宋体" w:eastAsia="宋体" w:cs="宋体"/>
          <w:spacing w:val="-19"/>
          <w:sz w:val="24"/>
          <w:szCs w:val="24"/>
          <w:lang w:eastAsia="zh-CN"/>
        </w:rPr>
        <w:t>自动采集。利用计算机技术实现计量数据的网络化管理，及时采集碳计量数据并备份归档；</w:t>
      </w:r>
    </w:p>
    <w:p w14:paraId="4EFAC9CC">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 xml:space="preserve">7.2.1.3 </w:t>
      </w:r>
      <w:r>
        <w:rPr>
          <w:rFonts w:ascii="宋体" w:hAnsi="宋体" w:eastAsia="宋体" w:cs="宋体"/>
          <w:spacing w:val="-19"/>
          <w:sz w:val="24"/>
          <w:szCs w:val="24"/>
          <w:lang w:eastAsia="zh-CN"/>
        </w:rPr>
        <w:t>第三方公正计量。委托具备法定资质的计量服务机构提供公正的碳计量数据。</w:t>
      </w:r>
    </w:p>
    <w:p w14:paraId="67AB87D4">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7.2.2</w:t>
      </w:r>
      <w:r>
        <w:rPr>
          <w:rFonts w:ascii="宋体" w:hAnsi="宋体" w:eastAsia="宋体" w:cs="宋体"/>
          <w:spacing w:val="-19"/>
          <w:sz w:val="24"/>
          <w:szCs w:val="24"/>
          <w:lang w:eastAsia="zh-CN"/>
        </w:rPr>
        <w:t>数据处理要求</w:t>
      </w:r>
    </w:p>
    <w:p w14:paraId="78E50B52">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 xml:space="preserve">7.2.2.1 </w:t>
      </w:r>
      <w:r>
        <w:rPr>
          <w:rFonts w:ascii="宋体" w:hAnsi="宋体" w:eastAsia="宋体" w:cs="宋体"/>
          <w:spacing w:val="-19"/>
          <w:sz w:val="24"/>
          <w:szCs w:val="24"/>
          <w:lang w:eastAsia="zh-CN"/>
        </w:rPr>
        <w:t>碳计量原始数据不得随意更改，并保证数据完整、真实、准确、可靠；</w:t>
      </w:r>
    </w:p>
    <w:p w14:paraId="1222E1AA">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 xml:space="preserve">7.2.2.2 </w:t>
      </w:r>
      <w:r>
        <w:rPr>
          <w:rFonts w:ascii="宋体" w:hAnsi="宋体" w:eastAsia="宋体" w:cs="宋体"/>
          <w:spacing w:val="-19"/>
          <w:sz w:val="24"/>
          <w:szCs w:val="24"/>
          <w:lang w:eastAsia="zh-CN"/>
        </w:rPr>
        <w:t>碳排放计量器具损坏或安装、拆卸期间造成碳计量数据有误或无法统计时，制定相应的方案进行评估。</w:t>
      </w:r>
    </w:p>
    <w:p w14:paraId="0E6DB020">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7.2.3</w:t>
      </w:r>
      <w:r>
        <w:rPr>
          <w:rFonts w:ascii="宋体" w:hAnsi="宋体" w:eastAsia="宋体" w:cs="宋体"/>
          <w:spacing w:val="-19"/>
          <w:sz w:val="24"/>
          <w:szCs w:val="24"/>
          <w:lang w:eastAsia="zh-CN"/>
        </w:rPr>
        <w:t>数据应用</w:t>
      </w:r>
    </w:p>
    <w:p w14:paraId="4663DC04">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 xml:space="preserve">7.2.3.1 </w:t>
      </w:r>
      <w:r>
        <w:rPr>
          <w:rFonts w:ascii="宋体" w:hAnsi="宋体" w:eastAsia="宋体" w:cs="宋体"/>
          <w:spacing w:val="-19"/>
          <w:sz w:val="24"/>
          <w:szCs w:val="24"/>
          <w:lang w:eastAsia="zh-CN"/>
        </w:rPr>
        <w:t>应将碳计量数据作为统计调查、统计分析的基础，统计报表数据应能追溯至计量采集记录；</w:t>
      </w:r>
    </w:p>
    <w:p w14:paraId="0E586301">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 xml:space="preserve">7.2.3.2 </w:t>
      </w:r>
      <w:r>
        <w:rPr>
          <w:rFonts w:ascii="宋体" w:hAnsi="宋体" w:eastAsia="宋体" w:cs="宋体"/>
          <w:spacing w:val="-19"/>
          <w:sz w:val="24"/>
          <w:szCs w:val="24"/>
          <w:lang w:eastAsia="zh-CN"/>
        </w:rPr>
        <w:t>制定建筑年度降碳目标和实施方案时，应以碳计量数据为基础，有针对性地采取计量管理或计量改造措施；</w:t>
      </w:r>
    </w:p>
    <w:p w14:paraId="52400F07">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7.2.4</w:t>
      </w:r>
      <w:r>
        <w:rPr>
          <w:rFonts w:ascii="宋体" w:hAnsi="宋体" w:eastAsia="宋体" w:cs="宋体"/>
          <w:spacing w:val="-19"/>
          <w:sz w:val="24"/>
          <w:szCs w:val="24"/>
          <w:lang w:eastAsia="zh-CN"/>
        </w:rPr>
        <w:t>实时在线监测数据和数据统计分析应实现能耗数据的自动采集、集中监测、可视化要求。实现能源供应、消耗全过程实时监测，保证数据实时反馈。</w:t>
      </w:r>
    </w:p>
    <w:p w14:paraId="0835D1B6">
      <w:pPr>
        <w:spacing w:line="360" w:lineRule="auto"/>
        <w:ind w:firstLine="404" w:firstLineChars="200"/>
        <w:rPr>
          <w:rFonts w:ascii="宋体" w:hAnsi="宋体" w:eastAsia="宋体" w:cs="宋体"/>
          <w:spacing w:val="-19"/>
          <w:sz w:val="24"/>
          <w:szCs w:val="24"/>
          <w:lang w:eastAsia="zh-CN"/>
        </w:rPr>
      </w:pPr>
    </w:p>
    <w:p w14:paraId="2ED79B16">
      <w:pPr>
        <w:spacing w:line="360" w:lineRule="auto"/>
        <w:outlineLvl w:val="0"/>
        <w:rPr>
          <w:rFonts w:ascii="黑体" w:hAnsi="黑体" w:eastAsia="黑体" w:cs="黑体"/>
          <w:spacing w:val="-6"/>
          <w:sz w:val="24"/>
          <w:szCs w:val="24"/>
          <w:lang w:eastAsia="zh-CN"/>
        </w:rPr>
      </w:pPr>
      <w:bookmarkStart w:id="46" w:name="bookmark1"/>
      <w:bookmarkEnd w:id="46"/>
      <w:bookmarkStart w:id="47" w:name="bookmark32"/>
      <w:bookmarkEnd w:id="47"/>
      <w:bookmarkStart w:id="48" w:name="bookmark46"/>
      <w:bookmarkEnd w:id="48"/>
      <w:bookmarkStart w:id="49" w:name="bookmark33"/>
      <w:bookmarkEnd w:id="49"/>
      <w:bookmarkStart w:id="50" w:name="bookmark45"/>
      <w:bookmarkEnd w:id="50"/>
      <w:bookmarkStart w:id="51" w:name="bookmark34"/>
      <w:bookmarkEnd w:id="51"/>
      <w:bookmarkStart w:id="52" w:name="_Toc190246702"/>
      <w:r>
        <w:rPr>
          <w:rFonts w:hint="eastAsia" w:ascii="黑体" w:hAnsi="黑体" w:eastAsia="黑体" w:cs="黑体"/>
          <w:spacing w:val="-6"/>
          <w:sz w:val="24"/>
          <w:szCs w:val="24"/>
          <w:lang w:eastAsia="zh-CN"/>
        </w:rPr>
        <w:t>8</w:t>
      </w:r>
      <w:r>
        <w:rPr>
          <w:rFonts w:ascii="黑体" w:hAnsi="黑体" w:eastAsia="黑体" w:cs="黑体"/>
          <w:spacing w:val="-6"/>
          <w:sz w:val="24"/>
          <w:szCs w:val="24"/>
          <w:lang w:eastAsia="zh-CN"/>
        </w:rPr>
        <w:t>.管理体系</w:t>
      </w:r>
      <w:bookmarkEnd w:id="52"/>
    </w:p>
    <w:p w14:paraId="55C25CC9">
      <w:pPr>
        <w:spacing w:line="360" w:lineRule="auto"/>
        <w:ind w:firstLine="404" w:firstLineChars="200"/>
        <w:rPr>
          <w:rFonts w:ascii="宋体" w:hAnsi="宋体" w:eastAsia="宋体" w:cs="宋体"/>
          <w:spacing w:val="-19"/>
          <w:sz w:val="24"/>
          <w:szCs w:val="24"/>
          <w:lang w:eastAsia="zh-CN"/>
        </w:rPr>
      </w:pPr>
      <w:bookmarkStart w:id="53" w:name="bookmark47"/>
      <w:bookmarkEnd w:id="53"/>
      <w:bookmarkStart w:id="54" w:name="bookmark48"/>
      <w:bookmarkEnd w:id="54"/>
      <w:r>
        <w:rPr>
          <w:rFonts w:hint="eastAsia" w:ascii="宋体" w:hAnsi="宋体" w:eastAsia="宋体" w:cs="宋体"/>
          <w:spacing w:val="-19"/>
          <w:sz w:val="24"/>
          <w:szCs w:val="24"/>
          <w:lang w:eastAsia="zh-CN"/>
        </w:rPr>
        <w:t>8</w:t>
      </w:r>
      <w:r>
        <w:rPr>
          <w:rFonts w:ascii="宋体" w:hAnsi="宋体" w:eastAsia="宋体" w:cs="宋体"/>
          <w:spacing w:val="-19"/>
          <w:sz w:val="24"/>
          <w:szCs w:val="24"/>
          <w:lang w:eastAsia="zh-CN"/>
        </w:rPr>
        <w:t>.1 方式</w:t>
      </w:r>
    </w:p>
    <w:p w14:paraId="387ECE95">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零碳产业园的</w:t>
      </w:r>
      <w:r>
        <w:rPr>
          <w:rFonts w:hint="eastAsia" w:ascii="宋体" w:hAnsi="宋体" w:eastAsia="宋体" w:cs="宋体"/>
          <w:spacing w:val="-19"/>
          <w:sz w:val="24"/>
          <w:szCs w:val="24"/>
          <w:lang w:eastAsia="zh-CN"/>
        </w:rPr>
        <w:t>碳</w:t>
      </w:r>
      <w:r>
        <w:rPr>
          <w:rFonts w:ascii="宋体" w:hAnsi="宋体" w:eastAsia="宋体" w:cs="宋体"/>
          <w:spacing w:val="-19"/>
          <w:sz w:val="24"/>
          <w:szCs w:val="24"/>
          <w:lang w:eastAsia="zh-CN"/>
        </w:rPr>
        <w:t>计量主管部门应</w:t>
      </w:r>
      <w:r>
        <w:rPr>
          <w:rFonts w:hint="eastAsia" w:ascii="宋体" w:hAnsi="宋体" w:eastAsia="宋体" w:cs="宋体"/>
          <w:spacing w:val="-19"/>
          <w:sz w:val="24"/>
          <w:szCs w:val="24"/>
          <w:lang w:eastAsia="zh-CN"/>
        </w:rPr>
        <w:t>指导园区各企业</w:t>
      </w:r>
      <w:r>
        <w:rPr>
          <w:rFonts w:ascii="宋体" w:hAnsi="宋体" w:eastAsia="宋体" w:cs="宋体"/>
          <w:spacing w:val="-19"/>
          <w:sz w:val="24"/>
          <w:szCs w:val="24"/>
          <w:lang w:eastAsia="zh-CN"/>
        </w:rPr>
        <w:t>建立、编制、实施和保持</w:t>
      </w:r>
      <w:r>
        <w:rPr>
          <w:rFonts w:hint="eastAsia" w:ascii="宋体" w:hAnsi="宋体" w:eastAsia="宋体" w:cs="宋体"/>
          <w:spacing w:val="-19"/>
          <w:sz w:val="24"/>
          <w:szCs w:val="24"/>
          <w:lang w:eastAsia="zh-CN"/>
        </w:rPr>
        <w:t>碳计量</w:t>
      </w:r>
      <w:r>
        <w:rPr>
          <w:rFonts w:ascii="宋体" w:hAnsi="宋体" w:eastAsia="宋体" w:cs="宋体"/>
          <w:spacing w:val="-19"/>
          <w:sz w:val="24"/>
          <w:szCs w:val="24"/>
          <w:lang w:eastAsia="zh-CN"/>
        </w:rPr>
        <w:t>管理体系，该管理体系应能够支持和证明企业持续满足</w:t>
      </w:r>
      <w:r>
        <w:rPr>
          <w:rFonts w:hint="eastAsia" w:ascii="宋体" w:hAnsi="宋体" w:eastAsia="宋体" w:cs="宋体"/>
          <w:spacing w:val="-19"/>
          <w:sz w:val="24"/>
          <w:szCs w:val="24"/>
          <w:lang w:eastAsia="zh-CN"/>
        </w:rPr>
        <w:t>碳</w:t>
      </w:r>
      <w:r>
        <w:rPr>
          <w:rFonts w:ascii="宋体" w:hAnsi="宋体" w:eastAsia="宋体" w:cs="宋体"/>
          <w:spacing w:val="-19"/>
          <w:sz w:val="24"/>
          <w:szCs w:val="24"/>
          <w:lang w:eastAsia="zh-CN"/>
        </w:rPr>
        <w:t>计量</w:t>
      </w:r>
      <w:r>
        <w:rPr>
          <w:rFonts w:hint="eastAsia" w:ascii="宋体" w:hAnsi="宋体" w:eastAsia="宋体" w:cs="宋体"/>
          <w:spacing w:val="-19"/>
          <w:sz w:val="24"/>
          <w:szCs w:val="24"/>
          <w:lang w:eastAsia="zh-CN"/>
        </w:rPr>
        <w:t>工作</w:t>
      </w:r>
      <w:r>
        <w:rPr>
          <w:rFonts w:ascii="宋体" w:hAnsi="宋体" w:eastAsia="宋体" w:cs="宋体"/>
          <w:spacing w:val="-19"/>
          <w:sz w:val="24"/>
          <w:szCs w:val="24"/>
          <w:lang w:eastAsia="zh-CN"/>
        </w:rPr>
        <w:t>的要求</w:t>
      </w:r>
      <w:r>
        <w:rPr>
          <w:rFonts w:hint="eastAsia" w:ascii="宋体" w:hAnsi="宋体" w:eastAsia="宋体" w:cs="宋体"/>
          <w:spacing w:val="-19"/>
          <w:sz w:val="24"/>
          <w:szCs w:val="24"/>
          <w:lang w:eastAsia="zh-CN"/>
        </w:rPr>
        <w:t>，同时应具备适应国家及地方政策变化的能力，及时调整和完善管理体系。</w:t>
      </w:r>
    </w:p>
    <w:p w14:paraId="24933495">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管理体系至少应包括以下内容：管理体系文件；管理体系文件的控制；记录控制；应对风险和 机遇的措施；改进和纠正措施；内部审核；管理评审。</w:t>
      </w:r>
    </w:p>
    <w:p w14:paraId="7CE4FDE0">
      <w:pPr>
        <w:spacing w:line="360" w:lineRule="auto"/>
        <w:ind w:firstLine="404" w:firstLineChars="200"/>
        <w:rPr>
          <w:rFonts w:ascii="宋体" w:hAnsi="宋体" w:eastAsia="宋体" w:cs="宋体"/>
          <w:spacing w:val="-19"/>
          <w:sz w:val="24"/>
          <w:szCs w:val="24"/>
          <w:lang w:eastAsia="zh-CN"/>
        </w:rPr>
      </w:pPr>
      <w:bookmarkStart w:id="55" w:name="bookmark50"/>
      <w:bookmarkEnd w:id="55"/>
      <w:bookmarkStart w:id="56" w:name="bookmark49"/>
      <w:bookmarkEnd w:id="56"/>
      <w:r>
        <w:rPr>
          <w:rFonts w:hint="eastAsia" w:ascii="宋体" w:hAnsi="宋体" w:eastAsia="宋体" w:cs="宋体"/>
          <w:spacing w:val="-19"/>
          <w:sz w:val="24"/>
          <w:szCs w:val="24"/>
          <w:lang w:eastAsia="zh-CN"/>
        </w:rPr>
        <w:t>8</w:t>
      </w:r>
      <w:r>
        <w:rPr>
          <w:rFonts w:ascii="宋体" w:hAnsi="宋体" w:eastAsia="宋体" w:cs="宋体"/>
          <w:spacing w:val="-19"/>
          <w:sz w:val="24"/>
          <w:szCs w:val="24"/>
          <w:lang w:eastAsia="zh-CN"/>
        </w:rPr>
        <w:t>.2 管理体系文件</w:t>
      </w:r>
    </w:p>
    <w:p w14:paraId="31BACF8A">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园区各企业的碳计量工作部门</w:t>
      </w:r>
      <w:r>
        <w:rPr>
          <w:rFonts w:ascii="宋体" w:hAnsi="宋体" w:eastAsia="宋体" w:cs="宋体"/>
          <w:spacing w:val="-19"/>
          <w:sz w:val="24"/>
          <w:szCs w:val="24"/>
          <w:lang w:eastAsia="zh-CN"/>
        </w:rPr>
        <w:t>应编制规定了有关人员从事质量活动应严格遵循的具体指导性文件</w:t>
      </w:r>
      <w:r>
        <w:rPr>
          <w:rFonts w:hint="eastAsia" w:ascii="宋体" w:hAnsi="宋体" w:eastAsia="宋体" w:cs="宋体"/>
          <w:spacing w:val="-19"/>
          <w:sz w:val="24"/>
          <w:szCs w:val="24"/>
          <w:lang w:eastAsia="zh-CN"/>
        </w:rPr>
        <w:t>即碳计量</w:t>
      </w:r>
      <w:r>
        <w:rPr>
          <w:rFonts w:ascii="宋体" w:hAnsi="宋体" w:eastAsia="宋体" w:cs="宋体"/>
          <w:spacing w:val="-19"/>
          <w:sz w:val="24"/>
          <w:szCs w:val="24"/>
          <w:lang w:eastAsia="zh-CN"/>
        </w:rPr>
        <w:t>管理体系文件，详细阐述碳计量体系的工作方针、总体目标、管理要求、技术要求和所从事的职能活动或质量活动的概述、职责、要求及具体的工作步骤以及如何控制。</w:t>
      </w:r>
    </w:p>
    <w:p w14:paraId="22468ECF">
      <w:pPr>
        <w:spacing w:line="360" w:lineRule="auto"/>
        <w:ind w:firstLine="404" w:firstLineChars="200"/>
        <w:rPr>
          <w:rFonts w:ascii="宋体" w:hAnsi="宋体" w:eastAsia="宋体" w:cs="宋体"/>
          <w:spacing w:val="-19"/>
          <w:sz w:val="24"/>
          <w:szCs w:val="24"/>
          <w:lang w:eastAsia="zh-CN"/>
        </w:rPr>
      </w:pPr>
      <w:bookmarkStart w:id="57" w:name="bookmark51"/>
      <w:bookmarkEnd w:id="57"/>
      <w:bookmarkStart w:id="58" w:name="bookmark52"/>
      <w:bookmarkEnd w:id="58"/>
      <w:r>
        <w:rPr>
          <w:rFonts w:hint="eastAsia" w:ascii="宋体" w:hAnsi="宋体" w:eastAsia="宋体" w:cs="宋体"/>
          <w:spacing w:val="-19"/>
          <w:sz w:val="24"/>
          <w:szCs w:val="24"/>
          <w:lang w:eastAsia="zh-CN"/>
        </w:rPr>
        <w:t>8</w:t>
      </w:r>
      <w:r>
        <w:rPr>
          <w:rFonts w:ascii="宋体" w:hAnsi="宋体" w:eastAsia="宋体" w:cs="宋体"/>
          <w:spacing w:val="-19"/>
          <w:sz w:val="24"/>
          <w:szCs w:val="24"/>
          <w:lang w:eastAsia="zh-CN"/>
        </w:rPr>
        <w:t>.3 管理体系文件的控制</w:t>
      </w:r>
    </w:p>
    <w:p w14:paraId="589F3A24">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园区各企业碳计量</w:t>
      </w:r>
      <w:r>
        <w:rPr>
          <w:rFonts w:ascii="宋体" w:hAnsi="宋体" w:eastAsia="宋体" w:cs="宋体"/>
          <w:spacing w:val="-19"/>
          <w:sz w:val="24"/>
          <w:szCs w:val="24"/>
          <w:lang w:eastAsia="zh-CN"/>
        </w:rPr>
        <w:t>管理体系文件在发布前均应得到评审、审核和批准，确保体系文件的要求是充分的、适宜的， 确保正确执行及实施的一致性和测量结果的有效性；文件有唯一性标识；防止误用作废文件，作废文件也应有适当标识。</w:t>
      </w:r>
    </w:p>
    <w:p w14:paraId="4E4AD586">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各责任部门定期对执行中的文件进行评审，如发现文件不适用或需要补充、修改时，必须及时 上报，并经原批准人员或授权人重新批准。</w:t>
      </w:r>
    </w:p>
    <w:p w14:paraId="75ABCCFC">
      <w:pPr>
        <w:spacing w:line="360" w:lineRule="auto"/>
        <w:ind w:firstLine="404" w:firstLineChars="200"/>
        <w:rPr>
          <w:rFonts w:ascii="宋体" w:hAnsi="宋体" w:eastAsia="宋体" w:cs="宋体"/>
          <w:spacing w:val="-19"/>
          <w:sz w:val="24"/>
          <w:szCs w:val="24"/>
          <w:lang w:eastAsia="zh-CN"/>
        </w:rPr>
      </w:pPr>
      <w:bookmarkStart w:id="59" w:name="bookmark54"/>
      <w:bookmarkEnd w:id="59"/>
      <w:bookmarkStart w:id="60" w:name="bookmark53"/>
      <w:bookmarkEnd w:id="60"/>
      <w:r>
        <w:rPr>
          <w:rFonts w:hint="eastAsia" w:ascii="宋体" w:hAnsi="宋体" w:eastAsia="宋体" w:cs="宋体"/>
          <w:spacing w:val="-19"/>
          <w:sz w:val="24"/>
          <w:szCs w:val="24"/>
          <w:lang w:eastAsia="zh-CN"/>
        </w:rPr>
        <w:t>8</w:t>
      </w:r>
      <w:r>
        <w:rPr>
          <w:rFonts w:ascii="宋体" w:hAnsi="宋体" w:eastAsia="宋体" w:cs="宋体"/>
          <w:spacing w:val="-19"/>
          <w:sz w:val="24"/>
          <w:szCs w:val="24"/>
          <w:lang w:eastAsia="zh-CN"/>
        </w:rPr>
        <w:t>.4 记录控制</w:t>
      </w:r>
    </w:p>
    <w:p w14:paraId="1EC9A503">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园区各企业</w:t>
      </w:r>
      <w:r>
        <w:rPr>
          <w:rFonts w:ascii="宋体" w:hAnsi="宋体" w:eastAsia="宋体" w:cs="宋体"/>
          <w:spacing w:val="-19"/>
          <w:sz w:val="24"/>
          <w:szCs w:val="24"/>
          <w:lang w:eastAsia="zh-CN"/>
        </w:rPr>
        <w:t>应</w:t>
      </w:r>
      <w:r>
        <w:rPr>
          <w:rFonts w:hint="eastAsia" w:ascii="宋体" w:hAnsi="宋体" w:eastAsia="宋体" w:cs="宋体"/>
          <w:spacing w:val="-19"/>
          <w:sz w:val="24"/>
          <w:szCs w:val="24"/>
          <w:lang w:eastAsia="zh-CN"/>
        </w:rPr>
        <w:t>对碳</w:t>
      </w:r>
      <w:r>
        <w:rPr>
          <w:rFonts w:ascii="宋体" w:hAnsi="宋体" w:eastAsia="宋体" w:cs="宋体"/>
          <w:spacing w:val="-19"/>
          <w:sz w:val="24"/>
          <w:szCs w:val="24"/>
          <w:lang w:eastAsia="zh-CN"/>
        </w:rPr>
        <w:t>计量</w:t>
      </w:r>
      <w:r>
        <w:rPr>
          <w:rFonts w:hint="eastAsia" w:ascii="宋体" w:hAnsi="宋体" w:eastAsia="宋体" w:cs="宋体"/>
          <w:spacing w:val="-19"/>
          <w:sz w:val="24"/>
          <w:szCs w:val="24"/>
          <w:lang w:eastAsia="zh-CN"/>
        </w:rPr>
        <w:t>工作</w:t>
      </w:r>
      <w:r>
        <w:rPr>
          <w:rFonts w:ascii="宋体" w:hAnsi="宋体" w:eastAsia="宋体" w:cs="宋体"/>
          <w:spacing w:val="-19"/>
          <w:sz w:val="24"/>
          <w:szCs w:val="24"/>
          <w:lang w:eastAsia="zh-CN"/>
        </w:rPr>
        <w:t xml:space="preserve">建立和保存清晰的记录；应对记录的标识、存储、保护、备份、归档、检索、保存期限和处置实施所需的控制。记录调 </w:t>
      </w:r>
      <w:bookmarkStart w:id="61" w:name="bookmark56"/>
      <w:bookmarkEnd w:id="61"/>
      <w:r>
        <w:rPr>
          <w:rFonts w:ascii="宋体" w:hAnsi="宋体" w:eastAsia="宋体" w:cs="宋体"/>
          <w:spacing w:val="-19"/>
          <w:sz w:val="24"/>
          <w:szCs w:val="24"/>
          <w:lang w:eastAsia="zh-CN"/>
        </w:rPr>
        <w:t>阅应符合保密承诺，记录应易于获得。</w:t>
      </w:r>
    </w:p>
    <w:p w14:paraId="6FC13450">
      <w:pPr>
        <w:spacing w:line="360" w:lineRule="auto"/>
        <w:ind w:firstLine="404" w:firstLineChars="200"/>
        <w:rPr>
          <w:rFonts w:ascii="宋体" w:hAnsi="宋体" w:eastAsia="宋体" w:cs="宋体"/>
          <w:spacing w:val="-19"/>
          <w:sz w:val="24"/>
          <w:szCs w:val="24"/>
          <w:lang w:eastAsia="zh-CN"/>
        </w:rPr>
      </w:pPr>
      <w:bookmarkStart w:id="62" w:name="bookmark55"/>
      <w:bookmarkEnd w:id="62"/>
      <w:r>
        <w:rPr>
          <w:rFonts w:hint="eastAsia" w:ascii="宋体" w:hAnsi="宋体" w:eastAsia="宋体" w:cs="宋体"/>
          <w:spacing w:val="-19"/>
          <w:sz w:val="24"/>
          <w:szCs w:val="24"/>
          <w:lang w:eastAsia="zh-CN"/>
        </w:rPr>
        <w:t>8</w:t>
      </w:r>
      <w:r>
        <w:rPr>
          <w:rFonts w:ascii="宋体" w:hAnsi="宋体" w:eastAsia="宋体" w:cs="宋体"/>
          <w:spacing w:val="-19"/>
          <w:sz w:val="24"/>
          <w:szCs w:val="24"/>
          <w:lang w:eastAsia="zh-CN"/>
        </w:rPr>
        <w:t>.5 应对风险和机遇的措施</w:t>
      </w:r>
    </w:p>
    <w:p w14:paraId="4959341D">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园区各企业</w:t>
      </w:r>
      <w:r>
        <w:rPr>
          <w:rFonts w:ascii="宋体" w:hAnsi="宋体" w:eastAsia="宋体" w:cs="宋体"/>
          <w:spacing w:val="-19"/>
          <w:sz w:val="24"/>
          <w:szCs w:val="24"/>
          <w:lang w:eastAsia="zh-CN"/>
        </w:rPr>
        <w:t>应充分考虑与碳计量活动相关的风险和机遇，以确保管理体系实现预期结果；预防和减少碳计</w:t>
      </w:r>
      <w:bookmarkStart w:id="63" w:name="bookmark58"/>
      <w:bookmarkEnd w:id="63"/>
      <w:r>
        <w:rPr>
          <w:rFonts w:ascii="宋体" w:hAnsi="宋体" w:eastAsia="宋体" w:cs="宋体"/>
          <w:spacing w:val="-19"/>
          <w:sz w:val="24"/>
          <w:szCs w:val="24"/>
          <w:lang w:eastAsia="zh-CN"/>
        </w:rPr>
        <w:t>量活动中的不利影响。</w:t>
      </w:r>
    </w:p>
    <w:p w14:paraId="354CF453">
      <w:pPr>
        <w:spacing w:line="360" w:lineRule="auto"/>
        <w:ind w:firstLine="404" w:firstLineChars="200"/>
        <w:rPr>
          <w:rFonts w:ascii="宋体" w:hAnsi="宋体" w:eastAsia="宋体" w:cs="宋体"/>
          <w:spacing w:val="-19"/>
          <w:sz w:val="24"/>
          <w:szCs w:val="24"/>
          <w:lang w:eastAsia="zh-CN"/>
        </w:rPr>
      </w:pPr>
      <w:bookmarkStart w:id="64" w:name="bookmark57"/>
      <w:bookmarkEnd w:id="64"/>
      <w:bookmarkStart w:id="65" w:name="bookmark59"/>
      <w:bookmarkEnd w:id="65"/>
      <w:bookmarkStart w:id="66" w:name="bookmark60"/>
      <w:bookmarkEnd w:id="66"/>
      <w:r>
        <w:rPr>
          <w:rFonts w:hint="eastAsia" w:ascii="宋体" w:hAnsi="宋体" w:eastAsia="宋体" w:cs="宋体"/>
          <w:spacing w:val="-19"/>
          <w:sz w:val="24"/>
          <w:szCs w:val="24"/>
          <w:lang w:eastAsia="zh-CN"/>
        </w:rPr>
        <w:t>8</w:t>
      </w:r>
      <w:r>
        <w:rPr>
          <w:rFonts w:ascii="宋体" w:hAnsi="宋体" w:eastAsia="宋体" w:cs="宋体"/>
          <w:spacing w:val="-19"/>
          <w:sz w:val="24"/>
          <w:szCs w:val="24"/>
          <w:lang w:eastAsia="zh-CN"/>
        </w:rPr>
        <w:t>.</w:t>
      </w:r>
      <w:r>
        <w:rPr>
          <w:rFonts w:hint="eastAsia" w:ascii="宋体" w:hAnsi="宋体" w:eastAsia="宋体" w:cs="宋体"/>
          <w:spacing w:val="-19"/>
          <w:sz w:val="24"/>
          <w:szCs w:val="24"/>
          <w:lang w:eastAsia="zh-CN"/>
        </w:rPr>
        <w:t>6</w:t>
      </w:r>
      <w:r>
        <w:rPr>
          <w:rFonts w:ascii="宋体" w:hAnsi="宋体" w:eastAsia="宋体" w:cs="宋体"/>
          <w:spacing w:val="-19"/>
          <w:sz w:val="24"/>
          <w:szCs w:val="24"/>
          <w:lang w:eastAsia="zh-CN"/>
        </w:rPr>
        <w:t xml:space="preserve"> 内部审核</w:t>
      </w:r>
    </w:p>
    <w:p w14:paraId="0743B449">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园区各企业</w:t>
      </w:r>
      <w:r>
        <w:rPr>
          <w:rFonts w:ascii="宋体" w:hAnsi="宋体" w:eastAsia="宋体" w:cs="宋体"/>
          <w:spacing w:val="-19"/>
          <w:sz w:val="24"/>
          <w:szCs w:val="24"/>
          <w:lang w:eastAsia="zh-CN"/>
        </w:rPr>
        <w:t>应制定内审计划，定期对</w:t>
      </w:r>
      <w:r>
        <w:rPr>
          <w:rFonts w:hint="eastAsia" w:ascii="宋体" w:hAnsi="宋体" w:eastAsia="宋体" w:cs="宋体"/>
          <w:spacing w:val="-19"/>
          <w:sz w:val="24"/>
          <w:szCs w:val="24"/>
          <w:lang w:eastAsia="zh-CN"/>
        </w:rPr>
        <w:t>碳计量工作开展情况</w:t>
      </w:r>
      <w:r>
        <w:rPr>
          <w:rFonts w:ascii="宋体" w:hAnsi="宋体" w:eastAsia="宋体" w:cs="宋体"/>
          <w:spacing w:val="-19"/>
          <w:sz w:val="24"/>
          <w:szCs w:val="24"/>
          <w:lang w:eastAsia="zh-CN"/>
        </w:rPr>
        <w:t>进行内审，审核计划应涉及管理体系的全部要素和所有部门， 审核计划包括频次、方法、职责、要求和报告；审核要委派受过培训和具备资格的人员来执行，委派的内审员与受审核的部门无直接责任关系；</w:t>
      </w:r>
    </w:p>
    <w:p w14:paraId="68BAF64F">
      <w:pPr>
        <w:spacing w:line="360" w:lineRule="auto"/>
        <w:ind w:firstLine="404" w:firstLineChars="200"/>
        <w:rPr>
          <w:rFonts w:ascii="宋体" w:hAnsi="宋体" w:eastAsia="宋体" w:cs="宋体"/>
          <w:spacing w:val="-19"/>
          <w:sz w:val="24"/>
          <w:szCs w:val="24"/>
          <w:lang w:eastAsia="zh-CN"/>
        </w:rPr>
      </w:pPr>
      <w:r>
        <w:rPr>
          <w:rFonts w:ascii="宋体" w:hAnsi="宋体" w:eastAsia="宋体" w:cs="宋体"/>
          <w:spacing w:val="-19"/>
          <w:sz w:val="24"/>
          <w:szCs w:val="24"/>
          <w:lang w:eastAsia="zh-CN"/>
        </w:rPr>
        <w:t>内审员根据检查方案、细则等对受审部门碳计量情况进行现场审核，详细记录审核记录，记录 做到清晰完整，以备查考；要认真协助受审核部门分析不符合或不合格工作、结果的原因，商讨制定纠正措施；</w:t>
      </w:r>
    </w:p>
    <w:p w14:paraId="024CF727">
      <w:pPr>
        <w:spacing w:line="360" w:lineRule="auto"/>
        <w:ind w:firstLine="404" w:firstLineChars="200"/>
        <w:rPr>
          <w:rFonts w:ascii="宋体" w:hAnsi="宋体" w:eastAsia="宋体" w:cs="宋体"/>
          <w:spacing w:val="-19"/>
          <w:sz w:val="24"/>
          <w:szCs w:val="24"/>
          <w:lang w:eastAsia="zh-CN"/>
        </w:rPr>
      </w:pPr>
      <w:bookmarkStart w:id="67" w:name="bookmark61"/>
      <w:bookmarkEnd w:id="67"/>
      <w:bookmarkStart w:id="68" w:name="bookmark62"/>
      <w:bookmarkEnd w:id="68"/>
      <w:r>
        <w:rPr>
          <w:rFonts w:hint="eastAsia" w:ascii="宋体" w:hAnsi="宋体" w:eastAsia="宋体" w:cs="宋体"/>
          <w:spacing w:val="-19"/>
          <w:sz w:val="24"/>
          <w:szCs w:val="24"/>
          <w:lang w:eastAsia="zh-CN"/>
        </w:rPr>
        <w:t>8</w:t>
      </w:r>
      <w:r>
        <w:rPr>
          <w:rFonts w:ascii="宋体" w:hAnsi="宋体" w:eastAsia="宋体" w:cs="宋体"/>
          <w:spacing w:val="-19"/>
          <w:sz w:val="24"/>
          <w:szCs w:val="24"/>
          <w:lang w:eastAsia="zh-CN"/>
        </w:rPr>
        <w:t>.</w:t>
      </w:r>
      <w:r>
        <w:rPr>
          <w:rFonts w:hint="eastAsia" w:ascii="宋体" w:hAnsi="宋体" w:eastAsia="宋体" w:cs="宋体"/>
          <w:spacing w:val="-19"/>
          <w:sz w:val="24"/>
          <w:szCs w:val="24"/>
          <w:lang w:eastAsia="zh-CN"/>
        </w:rPr>
        <w:t>7</w:t>
      </w:r>
      <w:r>
        <w:rPr>
          <w:rFonts w:ascii="宋体" w:hAnsi="宋体" w:eastAsia="宋体" w:cs="宋体"/>
          <w:spacing w:val="-19"/>
          <w:sz w:val="24"/>
          <w:szCs w:val="24"/>
          <w:lang w:eastAsia="zh-CN"/>
        </w:rPr>
        <w:t xml:space="preserve"> 管理评审</w:t>
      </w:r>
      <w:r>
        <w:rPr>
          <w:rFonts w:hint="eastAsia" w:ascii="宋体" w:hAnsi="宋体" w:eastAsia="宋体" w:cs="宋体"/>
          <w:spacing w:val="-19"/>
          <w:sz w:val="24"/>
          <w:szCs w:val="24"/>
          <w:lang w:eastAsia="zh-CN"/>
        </w:rPr>
        <w:t>及评价</w:t>
      </w:r>
    </w:p>
    <w:p w14:paraId="7F17E655">
      <w:pPr>
        <w:spacing w:line="360" w:lineRule="auto"/>
        <w:ind w:firstLine="404" w:firstLineChars="200"/>
        <w:rPr>
          <w:rFonts w:ascii="宋体" w:hAnsi="宋体" w:eastAsia="宋体" w:cs="宋体"/>
          <w:spacing w:val="-19"/>
          <w:sz w:val="24"/>
          <w:szCs w:val="24"/>
          <w:lang w:eastAsia="zh-CN"/>
        </w:rPr>
      </w:pPr>
      <w:r>
        <w:rPr>
          <w:rFonts w:hint="eastAsia" w:ascii="宋体" w:hAnsi="宋体" w:eastAsia="宋体" w:cs="宋体"/>
          <w:spacing w:val="-19"/>
          <w:sz w:val="24"/>
          <w:szCs w:val="24"/>
          <w:lang w:eastAsia="zh-CN"/>
        </w:rPr>
        <w:t>零碳产业园的碳计量主管部门定期组织专家对园区企业碳计量体系进行管理评审，</w:t>
      </w:r>
      <w:r>
        <w:rPr>
          <w:rFonts w:ascii="宋体" w:hAnsi="宋体" w:eastAsia="宋体" w:cs="宋体"/>
          <w:spacing w:val="-19"/>
          <w:sz w:val="24"/>
          <w:szCs w:val="24"/>
          <w:lang w:eastAsia="zh-CN"/>
        </w:rPr>
        <w:t>通过讨论、研究，对碳计量过程的充分性、有效性、适宜性做出综合评价，并提出改进要求</w:t>
      </w:r>
      <w:r>
        <w:rPr>
          <w:rFonts w:hint="eastAsia" w:ascii="宋体" w:hAnsi="宋体" w:eastAsia="宋体" w:cs="宋体"/>
          <w:spacing w:val="-19"/>
          <w:sz w:val="24"/>
          <w:szCs w:val="24"/>
          <w:lang w:eastAsia="zh-CN"/>
        </w:rPr>
        <w:t>。零碳产业园区所在的地市</w:t>
      </w:r>
      <w:bookmarkStart w:id="69" w:name="bookmark66"/>
      <w:bookmarkEnd w:id="69"/>
      <w:bookmarkStart w:id="70" w:name="bookmark63"/>
      <w:bookmarkEnd w:id="70"/>
      <w:bookmarkStart w:id="71" w:name="bookmark64"/>
      <w:bookmarkEnd w:id="71"/>
      <w:r>
        <w:rPr>
          <w:rFonts w:hint="eastAsia" w:ascii="宋体" w:hAnsi="宋体" w:eastAsia="宋体" w:cs="宋体"/>
          <w:spacing w:val="-19"/>
          <w:sz w:val="24"/>
          <w:szCs w:val="24"/>
          <w:lang w:eastAsia="zh-CN"/>
        </w:rPr>
        <w:t>计量行政主管部门可定期委托第三方机构对零碳产业园的碳计量体系实施情况进行评价，具体指标方法见附件。</w:t>
      </w:r>
    </w:p>
    <w:p w14:paraId="2ABD80D2">
      <w:pPr>
        <w:spacing w:line="360" w:lineRule="auto"/>
        <w:ind w:firstLine="404" w:firstLineChars="200"/>
        <w:rPr>
          <w:rFonts w:ascii="宋体" w:hAnsi="宋体" w:eastAsia="宋体" w:cs="宋体"/>
          <w:spacing w:val="-19"/>
          <w:sz w:val="24"/>
          <w:szCs w:val="24"/>
          <w:lang w:eastAsia="zh-CN"/>
        </w:rPr>
      </w:pPr>
    </w:p>
    <w:p w14:paraId="1C6A99A5">
      <w:pPr>
        <w:spacing w:line="360" w:lineRule="auto"/>
        <w:ind w:firstLine="404" w:firstLineChars="200"/>
        <w:rPr>
          <w:rFonts w:ascii="宋体" w:hAnsi="宋体" w:eastAsia="宋体" w:cs="宋体"/>
          <w:spacing w:val="-19"/>
          <w:sz w:val="24"/>
          <w:szCs w:val="24"/>
          <w:lang w:eastAsia="zh-CN"/>
        </w:rPr>
      </w:pPr>
    </w:p>
    <w:p w14:paraId="0BEA5D03">
      <w:pPr>
        <w:spacing w:line="360" w:lineRule="auto"/>
        <w:ind w:firstLine="420" w:firstLineChars="200"/>
        <w:rPr>
          <w:lang w:eastAsia="zh-CN"/>
        </w:rPr>
        <w:sectPr>
          <w:footerReference r:id="rId8" w:type="default"/>
          <w:pgSz w:w="11906" w:h="16839"/>
          <w:pgMar w:top="1080" w:right="1440" w:bottom="1080" w:left="1440" w:header="426" w:footer="888" w:gutter="0"/>
          <w:pgNumType w:start="1"/>
          <w:cols w:space="720" w:num="1"/>
          <w:docGrid w:linePitch="286" w:charSpace="0"/>
        </w:sectPr>
      </w:pPr>
    </w:p>
    <w:p w14:paraId="0C3C9E1D">
      <w:pPr>
        <w:spacing w:line="360" w:lineRule="auto"/>
        <w:ind w:firstLine="643" w:firstLineChars="200"/>
        <w:rPr>
          <w:rFonts w:ascii="黑体" w:hAnsi="黑体" w:eastAsia="黑体"/>
          <w:b/>
          <w:bCs/>
          <w:sz w:val="32"/>
          <w:szCs w:val="32"/>
          <w:lang w:eastAsia="zh-CN"/>
        </w:rPr>
      </w:pPr>
      <w:r>
        <w:rPr>
          <w:rFonts w:hint="eastAsia" w:ascii="黑体" w:hAnsi="黑体" w:eastAsia="黑体"/>
          <w:b/>
          <w:bCs/>
          <w:sz w:val="32"/>
          <w:szCs w:val="32"/>
          <w:lang w:eastAsia="zh-CN"/>
        </w:rPr>
        <w:t xml:space="preserve">附件（资料性附录） </w:t>
      </w:r>
    </w:p>
    <w:p w14:paraId="27572BC9">
      <w:pPr>
        <w:jc w:val="center"/>
        <w:rPr>
          <w:lang w:eastAsia="zh-CN"/>
        </w:rPr>
      </w:pPr>
      <w:r>
        <w:rPr>
          <w:rFonts w:hint="eastAsia" w:ascii="黑体" w:hAnsi="黑体" w:eastAsia="黑体"/>
          <w:b/>
          <w:bCs/>
          <w:sz w:val="32"/>
          <w:szCs w:val="32"/>
          <w:lang w:eastAsia="zh-CN"/>
        </w:rPr>
        <w:t>零碳产业园碳计量评价记录表</w:t>
      </w:r>
    </w:p>
    <w:p w14:paraId="2D1B5F38">
      <w:pPr>
        <w:rPr>
          <w:lang w:eastAsia="zh-CN"/>
        </w:rPr>
      </w:pPr>
      <w:bookmarkStart w:id="72" w:name="_Hlk202383991"/>
    </w:p>
    <w:tbl>
      <w:tblPr>
        <w:tblStyle w:val="16"/>
        <w:tblW w:w="0" w:type="auto"/>
        <w:tblInd w:w="0" w:type="dxa"/>
        <w:tblLayout w:type="autofit"/>
        <w:tblCellMar>
          <w:top w:w="0" w:type="dxa"/>
          <w:left w:w="108" w:type="dxa"/>
          <w:bottom w:w="0" w:type="dxa"/>
          <w:right w:w="108" w:type="dxa"/>
        </w:tblCellMar>
      </w:tblPr>
      <w:tblGrid>
        <w:gridCol w:w="1428"/>
        <w:gridCol w:w="2642"/>
        <w:gridCol w:w="6109"/>
        <w:gridCol w:w="1266"/>
        <w:gridCol w:w="1476"/>
        <w:gridCol w:w="1749"/>
      </w:tblGrid>
      <w:tr w14:paraId="75545C36">
        <w:tblPrEx>
          <w:tblCellMar>
            <w:top w:w="0" w:type="dxa"/>
            <w:left w:w="108" w:type="dxa"/>
            <w:bottom w:w="0" w:type="dxa"/>
            <w:right w:w="108" w:type="dxa"/>
          </w:tblCellMar>
        </w:tblPrEx>
        <w:trPr>
          <w:trHeight w:val="270" w:hRule="atLeast"/>
        </w:trPr>
        <w:tc>
          <w:tcPr>
            <w:tcW w:w="0" w:type="auto"/>
            <w:gridSpan w:val="2"/>
            <w:tcBorders>
              <w:top w:val="nil"/>
              <w:left w:val="nil"/>
              <w:bottom w:val="nil"/>
              <w:right w:val="nil"/>
            </w:tcBorders>
            <w:shd w:val="clear" w:color="auto" w:fill="auto"/>
            <w:noWrap/>
            <w:vAlign w:val="center"/>
          </w:tcPr>
          <w:p w14:paraId="2C5027BA">
            <w:pPr>
              <w:rPr>
                <w:lang w:eastAsia="zh-CN"/>
              </w:rPr>
            </w:pPr>
            <w:r>
              <w:rPr>
                <w:rFonts w:hint="eastAsia"/>
                <w:lang w:eastAsia="zh-CN"/>
              </w:rPr>
              <w:t>评价单位：________________________</w:t>
            </w:r>
          </w:p>
        </w:tc>
        <w:tc>
          <w:tcPr>
            <w:tcW w:w="6109" w:type="dxa"/>
            <w:tcBorders>
              <w:top w:val="nil"/>
              <w:left w:val="nil"/>
              <w:bottom w:val="nil"/>
              <w:right w:val="nil"/>
            </w:tcBorders>
            <w:shd w:val="clear" w:color="auto" w:fill="auto"/>
            <w:noWrap/>
            <w:vAlign w:val="center"/>
          </w:tcPr>
          <w:p w14:paraId="633D9758">
            <w:pPr>
              <w:rPr>
                <w:lang w:eastAsia="zh-CN"/>
              </w:rPr>
            </w:pPr>
          </w:p>
        </w:tc>
        <w:tc>
          <w:tcPr>
            <w:tcW w:w="0" w:type="auto"/>
            <w:tcBorders>
              <w:top w:val="nil"/>
              <w:left w:val="nil"/>
              <w:bottom w:val="nil"/>
              <w:right w:val="nil"/>
            </w:tcBorders>
            <w:shd w:val="clear" w:color="auto" w:fill="auto"/>
            <w:noWrap/>
            <w:vAlign w:val="center"/>
          </w:tcPr>
          <w:p w14:paraId="0338D881">
            <w:pPr>
              <w:rPr>
                <w:lang w:eastAsia="zh-CN"/>
              </w:rPr>
            </w:pPr>
          </w:p>
        </w:tc>
        <w:tc>
          <w:tcPr>
            <w:tcW w:w="0" w:type="auto"/>
            <w:tcBorders>
              <w:top w:val="nil"/>
              <w:left w:val="nil"/>
              <w:bottom w:val="nil"/>
              <w:right w:val="nil"/>
            </w:tcBorders>
            <w:shd w:val="clear" w:color="auto" w:fill="auto"/>
            <w:noWrap/>
            <w:vAlign w:val="center"/>
          </w:tcPr>
          <w:p w14:paraId="3B839026">
            <w:pPr>
              <w:rPr>
                <w:lang w:eastAsia="zh-CN"/>
              </w:rPr>
            </w:pPr>
          </w:p>
        </w:tc>
        <w:tc>
          <w:tcPr>
            <w:tcW w:w="1749" w:type="dxa"/>
            <w:tcBorders>
              <w:top w:val="nil"/>
              <w:left w:val="nil"/>
              <w:bottom w:val="nil"/>
              <w:right w:val="nil"/>
            </w:tcBorders>
            <w:shd w:val="clear" w:color="auto" w:fill="auto"/>
            <w:noWrap/>
            <w:vAlign w:val="center"/>
          </w:tcPr>
          <w:p w14:paraId="4A0BF59B">
            <w:pPr>
              <w:rPr>
                <w:lang w:eastAsia="zh-CN"/>
              </w:rPr>
            </w:pPr>
          </w:p>
        </w:tc>
      </w:tr>
      <w:tr w14:paraId="2067880D">
        <w:tblPrEx>
          <w:tblCellMar>
            <w:top w:w="0" w:type="dxa"/>
            <w:left w:w="108" w:type="dxa"/>
            <w:bottom w:w="0" w:type="dxa"/>
            <w:right w:w="108" w:type="dxa"/>
          </w:tblCellMar>
        </w:tblPrEx>
        <w:trPr>
          <w:trHeight w:val="270" w:hRule="atLeast"/>
        </w:trPr>
        <w:tc>
          <w:tcPr>
            <w:tcW w:w="10179" w:type="dxa"/>
            <w:gridSpan w:val="3"/>
            <w:tcBorders>
              <w:top w:val="nil"/>
              <w:left w:val="nil"/>
              <w:bottom w:val="nil"/>
              <w:right w:val="nil"/>
            </w:tcBorders>
            <w:shd w:val="clear" w:color="auto" w:fill="auto"/>
            <w:noWrap/>
            <w:vAlign w:val="center"/>
          </w:tcPr>
          <w:p w14:paraId="13C60726">
            <w:pPr>
              <w:rPr>
                <w:lang w:eastAsia="zh-CN"/>
              </w:rPr>
            </w:pPr>
            <w:r>
              <w:rPr>
                <w:rFonts w:hint="eastAsia"/>
                <w:lang w:eastAsia="zh-CN"/>
              </w:rPr>
              <w:t>产业园名称：________________________</w:t>
            </w:r>
          </w:p>
        </w:tc>
        <w:tc>
          <w:tcPr>
            <w:tcW w:w="0" w:type="auto"/>
            <w:tcBorders>
              <w:top w:val="nil"/>
              <w:left w:val="nil"/>
              <w:bottom w:val="nil"/>
              <w:right w:val="nil"/>
            </w:tcBorders>
            <w:shd w:val="clear" w:color="auto" w:fill="auto"/>
            <w:noWrap/>
            <w:vAlign w:val="center"/>
          </w:tcPr>
          <w:p w14:paraId="023EE6A3">
            <w:pPr>
              <w:rPr>
                <w:lang w:eastAsia="zh-CN"/>
              </w:rPr>
            </w:pPr>
          </w:p>
        </w:tc>
        <w:tc>
          <w:tcPr>
            <w:tcW w:w="0" w:type="auto"/>
            <w:tcBorders>
              <w:top w:val="nil"/>
              <w:left w:val="nil"/>
              <w:bottom w:val="nil"/>
              <w:right w:val="nil"/>
            </w:tcBorders>
            <w:shd w:val="clear" w:color="auto" w:fill="auto"/>
            <w:noWrap/>
            <w:vAlign w:val="center"/>
          </w:tcPr>
          <w:p w14:paraId="268FA285">
            <w:pPr>
              <w:rPr>
                <w:lang w:eastAsia="zh-CN"/>
              </w:rPr>
            </w:pPr>
          </w:p>
        </w:tc>
        <w:tc>
          <w:tcPr>
            <w:tcW w:w="1749" w:type="dxa"/>
            <w:tcBorders>
              <w:top w:val="nil"/>
              <w:left w:val="nil"/>
              <w:bottom w:val="nil"/>
              <w:right w:val="nil"/>
            </w:tcBorders>
            <w:shd w:val="clear" w:color="auto" w:fill="auto"/>
            <w:noWrap/>
            <w:vAlign w:val="center"/>
          </w:tcPr>
          <w:p w14:paraId="7409FB02">
            <w:pPr>
              <w:rPr>
                <w:lang w:eastAsia="zh-CN"/>
              </w:rPr>
            </w:pPr>
          </w:p>
        </w:tc>
      </w:tr>
      <w:tr w14:paraId="382B4FAB">
        <w:tblPrEx>
          <w:tblCellMar>
            <w:top w:w="0" w:type="dxa"/>
            <w:left w:w="108" w:type="dxa"/>
            <w:bottom w:w="0" w:type="dxa"/>
            <w:right w:w="108" w:type="dxa"/>
          </w:tblCellMar>
        </w:tblPrEx>
        <w:trPr>
          <w:trHeight w:val="426"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6640BB">
            <w:pPr>
              <w:jc w:val="center"/>
              <w:rPr>
                <w:lang w:eastAsia="zh-CN"/>
              </w:rPr>
            </w:pPr>
            <w:r>
              <w:rPr>
                <w:rFonts w:hint="eastAsia"/>
                <w:lang w:eastAsia="zh-CN"/>
              </w:rPr>
              <w:t>序号</w:t>
            </w:r>
          </w:p>
        </w:tc>
        <w:tc>
          <w:tcPr>
            <w:tcW w:w="0" w:type="auto"/>
            <w:tcBorders>
              <w:top w:val="single" w:color="auto" w:sz="4" w:space="0"/>
              <w:left w:val="nil"/>
              <w:bottom w:val="single" w:color="auto" w:sz="4" w:space="0"/>
              <w:right w:val="single" w:color="auto" w:sz="4" w:space="0"/>
            </w:tcBorders>
            <w:shd w:val="clear" w:color="auto" w:fill="auto"/>
            <w:vAlign w:val="center"/>
          </w:tcPr>
          <w:p w14:paraId="3790D1E6">
            <w:pPr>
              <w:jc w:val="center"/>
              <w:rPr>
                <w:lang w:eastAsia="zh-CN"/>
              </w:rPr>
            </w:pPr>
            <w:r>
              <w:rPr>
                <w:rFonts w:hint="eastAsia"/>
                <w:lang w:eastAsia="zh-CN"/>
              </w:rPr>
              <w:t>评价指标</w:t>
            </w:r>
          </w:p>
        </w:tc>
        <w:tc>
          <w:tcPr>
            <w:tcW w:w="6109" w:type="dxa"/>
            <w:tcBorders>
              <w:top w:val="single" w:color="auto" w:sz="4" w:space="0"/>
              <w:left w:val="nil"/>
              <w:bottom w:val="single" w:color="auto" w:sz="4" w:space="0"/>
              <w:right w:val="single" w:color="auto" w:sz="4" w:space="0"/>
            </w:tcBorders>
            <w:shd w:val="clear" w:color="auto" w:fill="auto"/>
            <w:vAlign w:val="center"/>
          </w:tcPr>
          <w:p w14:paraId="4017A4D7">
            <w:pPr>
              <w:jc w:val="center"/>
              <w:rPr>
                <w:lang w:eastAsia="zh-CN"/>
              </w:rPr>
            </w:pPr>
            <w:r>
              <w:rPr>
                <w:rFonts w:hint="eastAsia"/>
                <w:lang w:eastAsia="zh-CN"/>
              </w:rPr>
              <w:t>评价内容</w:t>
            </w:r>
          </w:p>
        </w:tc>
        <w:tc>
          <w:tcPr>
            <w:tcW w:w="0" w:type="auto"/>
            <w:tcBorders>
              <w:top w:val="single" w:color="auto" w:sz="4" w:space="0"/>
              <w:left w:val="nil"/>
              <w:bottom w:val="single" w:color="auto" w:sz="4" w:space="0"/>
              <w:right w:val="single" w:color="auto" w:sz="4" w:space="0"/>
            </w:tcBorders>
            <w:shd w:val="clear" w:color="auto" w:fill="auto"/>
            <w:vAlign w:val="center"/>
          </w:tcPr>
          <w:p w14:paraId="6C40577A">
            <w:pPr>
              <w:jc w:val="center"/>
              <w:rPr>
                <w:lang w:eastAsia="zh-CN"/>
              </w:rPr>
            </w:pPr>
            <w:r>
              <w:rPr>
                <w:rFonts w:hint="eastAsia"/>
                <w:lang w:eastAsia="zh-CN"/>
              </w:rPr>
              <w:t>评价结论</w:t>
            </w:r>
          </w:p>
        </w:tc>
        <w:tc>
          <w:tcPr>
            <w:tcW w:w="0" w:type="auto"/>
            <w:tcBorders>
              <w:top w:val="single" w:color="auto" w:sz="4" w:space="0"/>
              <w:left w:val="nil"/>
              <w:bottom w:val="single" w:color="auto" w:sz="4" w:space="0"/>
              <w:right w:val="single" w:color="auto" w:sz="4" w:space="0"/>
            </w:tcBorders>
            <w:shd w:val="clear" w:color="auto" w:fill="auto"/>
            <w:vAlign w:val="center"/>
          </w:tcPr>
          <w:p w14:paraId="382B95C7">
            <w:pPr>
              <w:jc w:val="center"/>
              <w:rPr>
                <w:lang w:eastAsia="zh-CN"/>
              </w:rPr>
            </w:pPr>
            <w:r>
              <w:rPr>
                <w:rFonts w:hint="eastAsia"/>
                <w:lang w:eastAsia="zh-CN"/>
              </w:rPr>
              <w:t>评价方法</w:t>
            </w:r>
          </w:p>
        </w:tc>
        <w:tc>
          <w:tcPr>
            <w:tcW w:w="1749" w:type="dxa"/>
            <w:tcBorders>
              <w:top w:val="single" w:color="auto" w:sz="4" w:space="0"/>
              <w:left w:val="nil"/>
              <w:bottom w:val="single" w:color="auto" w:sz="4" w:space="0"/>
              <w:right w:val="single" w:color="auto" w:sz="4" w:space="0"/>
            </w:tcBorders>
            <w:shd w:val="clear" w:color="auto" w:fill="auto"/>
            <w:vAlign w:val="center"/>
          </w:tcPr>
          <w:p w14:paraId="22A53881">
            <w:pPr>
              <w:jc w:val="center"/>
              <w:rPr>
                <w:lang w:eastAsia="zh-CN"/>
              </w:rPr>
            </w:pPr>
            <w:r>
              <w:rPr>
                <w:rFonts w:hint="eastAsia"/>
                <w:lang w:eastAsia="zh-CN"/>
              </w:rPr>
              <w:t>备注</w:t>
            </w:r>
          </w:p>
        </w:tc>
      </w:tr>
      <w:tr w14:paraId="0AD63C95">
        <w:tblPrEx>
          <w:tblCellMar>
            <w:top w:w="0" w:type="dxa"/>
            <w:left w:w="108" w:type="dxa"/>
            <w:bottom w:w="0" w:type="dxa"/>
            <w:right w:w="108" w:type="dxa"/>
          </w:tblCellMar>
        </w:tblPrEx>
        <w:trPr>
          <w:trHeight w:val="431" w:hRule="atLeast"/>
        </w:trPr>
        <w:tc>
          <w:tcPr>
            <w:tcW w:w="14670" w:type="dxa"/>
            <w:gridSpan w:val="6"/>
            <w:tcBorders>
              <w:top w:val="single" w:color="auto" w:sz="4" w:space="0"/>
              <w:left w:val="single" w:color="auto" w:sz="4" w:space="0"/>
              <w:bottom w:val="single" w:color="auto" w:sz="4" w:space="0"/>
              <w:right w:val="single" w:color="000000" w:sz="4" w:space="0"/>
            </w:tcBorders>
            <w:shd w:val="clear" w:color="auto" w:fill="F1F1F1" w:themeFill="background1" w:themeFillShade="F2"/>
            <w:vAlign w:val="center"/>
          </w:tcPr>
          <w:p w14:paraId="0EEBFE22">
            <w:pPr>
              <w:rPr>
                <w:lang w:eastAsia="zh-CN"/>
              </w:rPr>
            </w:pPr>
            <w:r>
              <w:rPr>
                <w:rFonts w:hint="eastAsia"/>
                <w:lang w:eastAsia="zh-CN"/>
              </w:rPr>
              <w:t>1. 组织架构</w:t>
            </w:r>
          </w:p>
        </w:tc>
      </w:tr>
      <w:tr w14:paraId="6BDD2DF6">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E101AC7">
            <w:pPr>
              <w:rPr>
                <w:lang w:eastAsia="zh-CN"/>
              </w:rPr>
            </w:pPr>
            <w:r>
              <w:rPr>
                <w:rFonts w:hint="eastAsia"/>
                <w:lang w:eastAsia="zh-CN"/>
              </w:rPr>
              <w:t>1.1</w:t>
            </w:r>
          </w:p>
        </w:tc>
        <w:tc>
          <w:tcPr>
            <w:tcW w:w="0" w:type="auto"/>
            <w:tcBorders>
              <w:top w:val="nil"/>
              <w:left w:val="nil"/>
              <w:bottom w:val="single" w:color="auto" w:sz="4" w:space="0"/>
              <w:right w:val="single" w:color="auto" w:sz="4" w:space="0"/>
            </w:tcBorders>
            <w:shd w:val="clear" w:color="auto" w:fill="auto"/>
            <w:vAlign w:val="center"/>
          </w:tcPr>
          <w:p w14:paraId="74B33978">
            <w:pPr>
              <w:rPr>
                <w:lang w:eastAsia="zh-CN"/>
              </w:rPr>
            </w:pPr>
            <w:r>
              <w:rPr>
                <w:rFonts w:hint="eastAsia" w:asciiTheme="minorEastAsia" w:hAnsiTheme="minorEastAsia"/>
                <w:lang w:eastAsia="zh-CN"/>
              </w:rPr>
              <w:t>★</w:t>
            </w:r>
            <w:r>
              <w:rPr>
                <w:rFonts w:hint="eastAsia"/>
                <w:lang w:eastAsia="zh-CN"/>
              </w:rPr>
              <w:t>管理部门设置</w:t>
            </w:r>
          </w:p>
        </w:tc>
        <w:tc>
          <w:tcPr>
            <w:tcW w:w="6109" w:type="dxa"/>
            <w:tcBorders>
              <w:top w:val="nil"/>
              <w:left w:val="nil"/>
              <w:bottom w:val="single" w:color="auto" w:sz="4" w:space="0"/>
              <w:right w:val="single" w:color="auto" w:sz="4" w:space="0"/>
            </w:tcBorders>
            <w:shd w:val="clear" w:color="auto" w:fill="auto"/>
            <w:vAlign w:val="center"/>
          </w:tcPr>
          <w:p w14:paraId="310C173D">
            <w:pPr>
              <w:rPr>
                <w:lang w:eastAsia="zh-CN"/>
              </w:rPr>
            </w:pPr>
            <w:r>
              <w:rPr>
                <w:rFonts w:hint="eastAsia"/>
                <w:lang w:eastAsia="zh-CN"/>
              </w:rPr>
              <w:t>园区是否设立专门的碳计量管理部门或指定有关部门负责碳计量工作。</w:t>
            </w:r>
          </w:p>
        </w:tc>
        <w:tc>
          <w:tcPr>
            <w:tcW w:w="0" w:type="auto"/>
            <w:tcBorders>
              <w:top w:val="nil"/>
              <w:left w:val="nil"/>
              <w:bottom w:val="single" w:color="auto" w:sz="4" w:space="0"/>
              <w:right w:val="single" w:color="auto" w:sz="4" w:space="0"/>
            </w:tcBorders>
            <w:shd w:val="clear" w:color="auto" w:fill="auto"/>
            <w:vAlign w:val="center"/>
          </w:tcPr>
          <w:p w14:paraId="0564ED6A">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44ED90FE">
            <w:pPr>
              <w:rPr>
                <w:lang w:eastAsia="zh-CN"/>
              </w:rPr>
            </w:pPr>
            <w:r>
              <w:rPr>
                <w:rFonts w:hint="eastAsia"/>
                <w:lang w:eastAsia="zh-CN"/>
              </w:rPr>
              <w:t>文件审查</w:t>
            </w:r>
          </w:p>
          <w:p w14:paraId="0A16B30E">
            <w:pPr>
              <w:rPr>
                <w:lang w:eastAsia="zh-CN"/>
              </w:rPr>
            </w:pPr>
            <w:r>
              <w:rPr>
                <w:rFonts w:hint="eastAsia"/>
                <w:lang w:eastAsia="zh-CN"/>
              </w:rPr>
              <w:t>现场检查</w:t>
            </w:r>
          </w:p>
        </w:tc>
        <w:tc>
          <w:tcPr>
            <w:tcW w:w="1749" w:type="dxa"/>
            <w:tcBorders>
              <w:top w:val="nil"/>
              <w:left w:val="nil"/>
              <w:bottom w:val="single" w:color="auto" w:sz="4" w:space="0"/>
              <w:right w:val="single" w:color="auto" w:sz="4" w:space="0"/>
            </w:tcBorders>
            <w:shd w:val="clear" w:color="auto" w:fill="auto"/>
            <w:noWrap/>
            <w:vAlign w:val="center"/>
          </w:tcPr>
          <w:p w14:paraId="4BA32CDA">
            <w:pPr>
              <w:rPr>
                <w:lang w:eastAsia="zh-CN"/>
              </w:rPr>
            </w:pPr>
            <w:r>
              <w:rPr>
                <w:rFonts w:hint="eastAsia"/>
                <w:lang w:eastAsia="zh-CN"/>
              </w:rPr>
              <w:t>　</w:t>
            </w:r>
          </w:p>
        </w:tc>
      </w:tr>
      <w:tr w14:paraId="520DDA6F">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566FCE20">
            <w:pPr>
              <w:rPr>
                <w:lang w:eastAsia="zh-CN"/>
              </w:rPr>
            </w:pPr>
            <w:r>
              <w:rPr>
                <w:rFonts w:hint="eastAsia"/>
                <w:lang w:eastAsia="zh-CN"/>
              </w:rPr>
              <w:t>1.2</w:t>
            </w:r>
          </w:p>
        </w:tc>
        <w:tc>
          <w:tcPr>
            <w:tcW w:w="0" w:type="auto"/>
            <w:tcBorders>
              <w:top w:val="nil"/>
              <w:left w:val="nil"/>
              <w:bottom w:val="single" w:color="auto" w:sz="4" w:space="0"/>
              <w:right w:val="single" w:color="auto" w:sz="4" w:space="0"/>
            </w:tcBorders>
            <w:shd w:val="clear" w:color="auto" w:fill="auto"/>
            <w:vAlign w:val="center"/>
          </w:tcPr>
          <w:p w14:paraId="1DB3AE96">
            <w:pPr>
              <w:rPr>
                <w:lang w:eastAsia="zh-CN"/>
              </w:rPr>
            </w:pPr>
            <w:r>
              <w:rPr>
                <w:rFonts w:hint="eastAsia" w:asciiTheme="minorEastAsia" w:hAnsiTheme="minorEastAsia"/>
                <w:lang w:eastAsia="zh-CN"/>
              </w:rPr>
              <w:t>★</w:t>
            </w:r>
            <w:r>
              <w:rPr>
                <w:rFonts w:hint="eastAsia"/>
                <w:lang w:eastAsia="zh-CN"/>
              </w:rPr>
              <w:t>企业责任落实</w:t>
            </w:r>
          </w:p>
        </w:tc>
        <w:tc>
          <w:tcPr>
            <w:tcW w:w="6109" w:type="dxa"/>
            <w:tcBorders>
              <w:top w:val="nil"/>
              <w:left w:val="nil"/>
              <w:bottom w:val="single" w:color="auto" w:sz="4" w:space="0"/>
              <w:right w:val="single" w:color="auto" w:sz="4" w:space="0"/>
            </w:tcBorders>
            <w:shd w:val="clear" w:color="auto" w:fill="auto"/>
            <w:vAlign w:val="center"/>
          </w:tcPr>
          <w:p w14:paraId="6D1AEFD5">
            <w:pPr>
              <w:rPr>
                <w:lang w:eastAsia="zh-CN"/>
              </w:rPr>
            </w:pPr>
            <w:r>
              <w:rPr>
                <w:rFonts w:hint="eastAsia"/>
                <w:lang w:eastAsia="zh-CN"/>
              </w:rPr>
              <w:t>园区企业是否明确碳计量管理职责，形成程序文件。</w:t>
            </w:r>
          </w:p>
        </w:tc>
        <w:tc>
          <w:tcPr>
            <w:tcW w:w="0" w:type="auto"/>
            <w:tcBorders>
              <w:top w:val="nil"/>
              <w:left w:val="nil"/>
              <w:bottom w:val="single" w:color="auto" w:sz="4" w:space="0"/>
              <w:right w:val="single" w:color="auto" w:sz="4" w:space="0"/>
            </w:tcBorders>
            <w:shd w:val="clear" w:color="auto" w:fill="auto"/>
            <w:vAlign w:val="center"/>
          </w:tcPr>
          <w:p w14:paraId="5AE40BE6">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31AF82EA">
            <w:pPr>
              <w:rPr>
                <w:lang w:eastAsia="zh-CN"/>
              </w:rPr>
            </w:pPr>
            <w:r>
              <w:rPr>
                <w:rFonts w:hint="eastAsia"/>
                <w:lang w:eastAsia="zh-CN"/>
              </w:rPr>
              <w:t>文件审查</w:t>
            </w:r>
          </w:p>
          <w:p w14:paraId="0676DAB9">
            <w:pPr>
              <w:rPr>
                <w:lang w:eastAsia="zh-CN"/>
              </w:rPr>
            </w:pPr>
            <w:r>
              <w:rPr>
                <w:rFonts w:hint="eastAsia"/>
                <w:lang w:eastAsia="zh-CN"/>
              </w:rPr>
              <w:t>现场检查</w:t>
            </w:r>
          </w:p>
        </w:tc>
        <w:tc>
          <w:tcPr>
            <w:tcW w:w="1749" w:type="dxa"/>
            <w:tcBorders>
              <w:top w:val="nil"/>
              <w:left w:val="nil"/>
              <w:bottom w:val="single" w:color="auto" w:sz="4" w:space="0"/>
              <w:right w:val="single" w:color="auto" w:sz="4" w:space="0"/>
            </w:tcBorders>
            <w:shd w:val="clear" w:color="auto" w:fill="auto"/>
            <w:noWrap/>
            <w:vAlign w:val="center"/>
          </w:tcPr>
          <w:p w14:paraId="795A1AF3">
            <w:pPr>
              <w:rPr>
                <w:lang w:eastAsia="zh-CN"/>
              </w:rPr>
            </w:pPr>
            <w:r>
              <w:rPr>
                <w:rFonts w:hint="eastAsia"/>
                <w:lang w:eastAsia="zh-CN"/>
              </w:rPr>
              <w:t>　</w:t>
            </w:r>
          </w:p>
        </w:tc>
      </w:tr>
      <w:tr w14:paraId="15A82221">
        <w:tblPrEx>
          <w:tblCellMar>
            <w:top w:w="0" w:type="dxa"/>
            <w:left w:w="108" w:type="dxa"/>
            <w:bottom w:w="0" w:type="dxa"/>
            <w:right w:w="108" w:type="dxa"/>
          </w:tblCellMar>
        </w:tblPrEx>
        <w:trPr>
          <w:trHeight w:val="641" w:hRule="atLeast"/>
        </w:trPr>
        <w:tc>
          <w:tcPr>
            <w:tcW w:w="14670" w:type="dxa"/>
            <w:gridSpan w:val="6"/>
            <w:tcBorders>
              <w:top w:val="single" w:color="auto" w:sz="4" w:space="0"/>
              <w:left w:val="single" w:color="auto" w:sz="4" w:space="0"/>
              <w:bottom w:val="single" w:color="auto" w:sz="4" w:space="0"/>
              <w:right w:val="single" w:color="000000" w:sz="4" w:space="0"/>
            </w:tcBorders>
            <w:shd w:val="clear" w:color="auto" w:fill="F1F1F1" w:themeFill="background1" w:themeFillShade="F2"/>
            <w:vAlign w:val="center"/>
          </w:tcPr>
          <w:p w14:paraId="4CE9D376">
            <w:pPr>
              <w:rPr>
                <w:lang w:eastAsia="zh-CN"/>
              </w:rPr>
            </w:pPr>
            <w:r>
              <w:rPr>
                <w:rFonts w:hint="eastAsia"/>
                <w:lang w:eastAsia="zh-CN"/>
              </w:rPr>
              <w:t>2. 资源配备</w:t>
            </w:r>
          </w:p>
        </w:tc>
      </w:tr>
      <w:tr w14:paraId="48044FB4">
        <w:tblPrEx>
          <w:tblCellMar>
            <w:top w:w="0" w:type="dxa"/>
            <w:left w:w="108" w:type="dxa"/>
            <w:bottom w:w="0" w:type="dxa"/>
            <w:right w:w="108" w:type="dxa"/>
          </w:tblCellMar>
        </w:tblPrEx>
        <w:trPr>
          <w:trHeight w:val="693" w:hRule="atLeast"/>
        </w:trPr>
        <w:tc>
          <w:tcPr>
            <w:tcW w:w="14670" w:type="dxa"/>
            <w:gridSpan w:val="6"/>
            <w:tcBorders>
              <w:top w:val="single" w:color="auto" w:sz="4" w:space="0"/>
              <w:left w:val="single" w:color="auto" w:sz="4" w:space="0"/>
              <w:bottom w:val="single" w:color="auto" w:sz="4" w:space="0"/>
              <w:right w:val="single" w:color="000000" w:sz="4" w:space="0"/>
            </w:tcBorders>
            <w:shd w:val="clear" w:color="auto" w:fill="F1F1F1" w:themeFill="background1" w:themeFillShade="F2"/>
            <w:vAlign w:val="center"/>
          </w:tcPr>
          <w:p w14:paraId="7FED99D7">
            <w:pPr>
              <w:rPr>
                <w:lang w:eastAsia="zh-CN"/>
              </w:rPr>
            </w:pPr>
            <w:r>
              <w:rPr>
                <w:rFonts w:hint="eastAsia"/>
                <w:lang w:eastAsia="zh-CN"/>
              </w:rPr>
              <w:t>2.1 碳计量目标</w:t>
            </w:r>
          </w:p>
        </w:tc>
      </w:tr>
      <w:tr w14:paraId="4F0E1DCE">
        <w:tblPrEx>
          <w:tblCellMar>
            <w:top w:w="0" w:type="dxa"/>
            <w:left w:w="108" w:type="dxa"/>
            <w:bottom w:w="0" w:type="dxa"/>
            <w:right w:w="108" w:type="dxa"/>
          </w:tblCellMar>
        </w:tblPrEx>
        <w:trPr>
          <w:trHeight w:val="702"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DEEE3FA">
            <w:pPr>
              <w:rPr>
                <w:lang w:eastAsia="zh-CN"/>
              </w:rPr>
            </w:pPr>
            <w:r>
              <w:rPr>
                <w:rFonts w:hint="eastAsia"/>
                <w:lang w:eastAsia="zh-CN"/>
              </w:rPr>
              <w:t>2.1.1</w:t>
            </w:r>
          </w:p>
        </w:tc>
        <w:tc>
          <w:tcPr>
            <w:tcW w:w="0" w:type="auto"/>
            <w:tcBorders>
              <w:top w:val="nil"/>
              <w:left w:val="nil"/>
              <w:bottom w:val="single" w:color="auto" w:sz="4" w:space="0"/>
              <w:right w:val="single" w:color="auto" w:sz="4" w:space="0"/>
            </w:tcBorders>
            <w:shd w:val="clear" w:color="auto" w:fill="auto"/>
            <w:vAlign w:val="center"/>
          </w:tcPr>
          <w:p w14:paraId="48C8030C">
            <w:pPr>
              <w:rPr>
                <w:lang w:eastAsia="zh-CN"/>
              </w:rPr>
            </w:pPr>
            <w:r>
              <w:rPr>
                <w:rFonts w:hint="eastAsia" w:asciiTheme="minorEastAsia" w:hAnsiTheme="minorEastAsia"/>
                <w:lang w:eastAsia="zh-CN"/>
              </w:rPr>
              <w:t>★</w:t>
            </w:r>
            <w:r>
              <w:rPr>
                <w:rFonts w:hint="eastAsia"/>
                <w:lang w:eastAsia="zh-CN"/>
              </w:rPr>
              <w:t>碳计量目标</w:t>
            </w:r>
          </w:p>
        </w:tc>
        <w:tc>
          <w:tcPr>
            <w:tcW w:w="6109" w:type="dxa"/>
            <w:tcBorders>
              <w:top w:val="nil"/>
              <w:left w:val="nil"/>
              <w:bottom w:val="single" w:color="auto" w:sz="4" w:space="0"/>
              <w:right w:val="single" w:color="auto" w:sz="4" w:space="0"/>
            </w:tcBorders>
            <w:shd w:val="clear" w:color="auto" w:fill="auto"/>
            <w:vAlign w:val="center"/>
          </w:tcPr>
          <w:p w14:paraId="6E6660F8">
            <w:pPr>
              <w:rPr>
                <w:lang w:eastAsia="zh-CN"/>
              </w:rPr>
            </w:pPr>
            <w:r>
              <w:rPr>
                <w:rFonts w:hint="eastAsia"/>
                <w:lang w:eastAsia="zh-CN"/>
              </w:rPr>
              <w:t>园区是否确定碳计量目标并形成文件，由主管零碳产业园碳计量工作的最高管理者授权发布。园区企业根据园区碳计量目标制定符合自身要求的碳计量目标。</w:t>
            </w:r>
          </w:p>
        </w:tc>
        <w:tc>
          <w:tcPr>
            <w:tcW w:w="0" w:type="auto"/>
            <w:tcBorders>
              <w:top w:val="nil"/>
              <w:left w:val="nil"/>
              <w:bottom w:val="single" w:color="auto" w:sz="4" w:space="0"/>
              <w:right w:val="single" w:color="auto" w:sz="4" w:space="0"/>
            </w:tcBorders>
            <w:shd w:val="clear" w:color="auto" w:fill="auto"/>
            <w:vAlign w:val="center"/>
          </w:tcPr>
          <w:p w14:paraId="74AF6EE3">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7BB2B789">
            <w:pPr>
              <w:rPr>
                <w:lang w:eastAsia="zh-CN"/>
              </w:rPr>
            </w:pPr>
            <w:r>
              <w:rPr>
                <w:rFonts w:hint="eastAsia"/>
                <w:lang w:eastAsia="zh-CN"/>
              </w:rPr>
              <w:t>文件审查</w:t>
            </w:r>
          </w:p>
          <w:p w14:paraId="6AFDE101">
            <w:pPr>
              <w:rPr>
                <w:lang w:eastAsia="zh-CN"/>
              </w:rPr>
            </w:pPr>
            <w:r>
              <w:rPr>
                <w:rFonts w:hint="eastAsia"/>
                <w:lang w:eastAsia="zh-CN"/>
              </w:rPr>
              <w:t>现场检查</w:t>
            </w:r>
          </w:p>
        </w:tc>
        <w:tc>
          <w:tcPr>
            <w:tcW w:w="1749" w:type="dxa"/>
            <w:tcBorders>
              <w:top w:val="nil"/>
              <w:left w:val="nil"/>
              <w:bottom w:val="single" w:color="auto" w:sz="4" w:space="0"/>
              <w:right w:val="single" w:color="auto" w:sz="4" w:space="0"/>
            </w:tcBorders>
            <w:shd w:val="clear" w:color="auto" w:fill="auto"/>
            <w:noWrap/>
            <w:vAlign w:val="center"/>
          </w:tcPr>
          <w:p w14:paraId="0A4197FA">
            <w:pPr>
              <w:rPr>
                <w:lang w:eastAsia="zh-CN"/>
              </w:rPr>
            </w:pPr>
            <w:r>
              <w:rPr>
                <w:rFonts w:hint="eastAsia"/>
                <w:lang w:eastAsia="zh-CN"/>
              </w:rPr>
              <w:t>　</w:t>
            </w:r>
          </w:p>
        </w:tc>
      </w:tr>
      <w:tr w14:paraId="3CF36541">
        <w:tblPrEx>
          <w:tblCellMar>
            <w:top w:w="0" w:type="dxa"/>
            <w:left w:w="108" w:type="dxa"/>
            <w:bottom w:w="0" w:type="dxa"/>
            <w:right w:w="108" w:type="dxa"/>
          </w:tblCellMar>
        </w:tblPrEx>
        <w:trPr>
          <w:trHeight w:val="586" w:hRule="atLeast"/>
        </w:trPr>
        <w:tc>
          <w:tcPr>
            <w:tcW w:w="14670" w:type="dxa"/>
            <w:gridSpan w:val="6"/>
            <w:tcBorders>
              <w:top w:val="nil"/>
              <w:left w:val="single" w:color="auto" w:sz="4" w:space="0"/>
              <w:bottom w:val="single" w:color="auto" w:sz="4" w:space="0"/>
              <w:right w:val="single" w:color="auto" w:sz="4" w:space="0"/>
            </w:tcBorders>
            <w:shd w:val="clear" w:color="auto" w:fill="F1F1F1" w:themeFill="background1" w:themeFillShade="F2"/>
            <w:vAlign w:val="center"/>
          </w:tcPr>
          <w:p w14:paraId="15D384C2">
            <w:pPr>
              <w:rPr>
                <w:lang w:eastAsia="zh-CN"/>
              </w:rPr>
            </w:pPr>
            <w:r>
              <w:rPr>
                <w:rFonts w:hint="eastAsia"/>
                <w:lang w:eastAsia="zh-CN"/>
              </w:rPr>
              <w:t>2.2 人员配备</w:t>
            </w:r>
          </w:p>
        </w:tc>
      </w:tr>
      <w:tr w14:paraId="446D2124">
        <w:tblPrEx>
          <w:tblCellMar>
            <w:top w:w="0" w:type="dxa"/>
            <w:left w:w="108" w:type="dxa"/>
            <w:bottom w:w="0" w:type="dxa"/>
            <w:right w:w="108" w:type="dxa"/>
          </w:tblCellMar>
        </w:tblPrEx>
        <w:trPr>
          <w:trHeight w:val="841"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57CEA317">
            <w:pPr>
              <w:rPr>
                <w:lang w:eastAsia="zh-CN"/>
              </w:rPr>
            </w:pPr>
            <w:r>
              <w:rPr>
                <w:rFonts w:hint="eastAsia"/>
                <w:lang w:eastAsia="zh-CN"/>
              </w:rPr>
              <w:t>2.2.1</w:t>
            </w:r>
          </w:p>
        </w:tc>
        <w:tc>
          <w:tcPr>
            <w:tcW w:w="0" w:type="auto"/>
            <w:tcBorders>
              <w:top w:val="nil"/>
              <w:left w:val="nil"/>
              <w:bottom w:val="single" w:color="auto" w:sz="4" w:space="0"/>
              <w:right w:val="single" w:color="auto" w:sz="4" w:space="0"/>
            </w:tcBorders>
            <w:shd w:val="clear" w:color="auto" w:fill="auto"/>
            <w:vAlign w:val="center"/>
          </w:tcPr>
          <w:p w14:paraId="233E2E6B">
            <w:pPr>
              <w:rPr>
                <w:rFonts w:asciiTheme="minorEastAsia" w:hAnsiTheme="minorEastAsia"/>
                <w:lang w:eastAsia="zh-CN"/>
              </w:rPr>
            </w:pPr>
            <w:r>
              <w:rPr>
                <w:rFonts w:hint="eastAsia" w:asciiTheme="minorEastAsia" w:hAnsiTheme="minorEastAsia"/>
                <w:lang w:eastAsia="zh-CN"/>
              </w:rPr>
              <w:t>★</w:t>
            </w:r>
            <w:r>
              <w:rPr>
                <w:rFonts w:hint="eastAsia"/>
                <w:lang w:eastAsia="zh-CN"/>
              </w:rPr>
              <w:t>人员配置</w:t>
            </w:r>
          </w:p>
        </w:tc>
        <w:tc>
          <w:tcPr>
            <w:tcW w:w="6109" w:type="dxa"/>
            <w:tcBorders>
              <w:top w:val="nil"/>
              <w:left w:val="nil"/>
              <w:bottom w:val="single" w:color="auto" w:sz="4" w:space="0"/>
              <w:right w:val="single" w:color="auto" w:sz="4" w:space="0"/>
            </w:tcBorders>
            <w:shd w:val="clear" w:color="auto" w:fill="auto"/>
            <w:vAlign w:val="center"/>
          </w:tcPr>
          <w:p w14:paraId="2C6EBE7B">
            <w:pPr>
              <w:rPr>
                <w:lang w:eastAsia="zh-CN"/>
              </w:rPr>
            </w:pPr>
            <w:r>
              <w:rPr>
                <w:rFonts w:hint="eastAsia"/>
                <w:lang w:eastAsia="zh-CN"/>
              </w:rPr>
              <w:t>园区是否配备碳计量最高管理者、分管负责人，园区企业是否配备碳计量管理人员和技术人员。</w:t>
            </w:r>
          </w:p>
        </w:tc>
        <w:tc>
          <w:tcPr>
            <w:tcW w:w="0" w:type="auto"/>
            <w:tcBorders>
              <w:top w:val="nil"/>
              <w:left w:val="nil"/>
              <w:bottom w:val="single" w:color="auto" w:sz="4" w:space="0"/>
              <w:right w:val="single" w:color="auto" w:sz="4" w:space="0"/>
            </w:tcBorders>
            <w:shd w:val="clear" w:color="auto" w:fill="auto"/>
            <w:vAlign w:val="center"/>
          </w:tcPr>
          <w:p w14:paraId="6A81B091">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76D54C2F">
            <w:pPr>
              <w:rPr>
                <w:lang w:eastAsia="zh-CN"/>
              </w:rPr>
            </w:pPr>
            <w:r>
              <w:rPr>
                <w:rFonts w:hint="eastAsia"/>
                <w:lang w:eastAsia="zh-CN"/>
              </w:rPr>
              <w:t>档案审查</w:t>
            </w:r>
          </w:p>
          <w:p w14:paraId="010A1F50">
            <w:pPr>
              <w:rPr>
                <w:lang w:eastAsia="zh-CN"/>
              </w:rPr>
            </w:pPr>
            <w:r>
              <w:rPr>
                <w:rFonts w:hint="eastAsia"/>
                <w:lang w:eastAsia="zh-CN"/>
              </w:rPr>
              <w:t>现场核查</w:t>
            </w:r>
          </w:p>
        </w:tc>
        <w:tc>
          <w:tcPr>
            <w:tcW w:w="1749" w:type="dxa"/>
            <w:tcBorders>
              <w:top w:val="nil"/>
              <w:left w:val="nil"/>
              <w:bottom w:val="single" w:color="auto" w:sz="4" w:space="0"/>
              <w:right w:val="single" w:color="auto" w:sz="4" w:space="0"/>
            </w:tcBorders>
            <w:shd w:val="clear" w:color="auto" w:fill="auto"/>
            <w:noWrap/>
            <w:vAlign w:val="center"/>
          </w:tcPr>
          <w:p w14:paraId="398992FD">
            <w:pPr>
              <w:rPr>
                <w:lang w:eastAsia="zh-CN"/>
              </w:rPr>
            </w:pPr>
            <w:r>
              <w:rPr>
                <w:rFonts w:hint="eastAsia"/>
                <w:lang w:eastAsia="zh-CN"/>
              </w:rPr>
              <w:t>　</w:t>
            </w:r>
          </w:p>
        </w:tc>
      </w:tr>
      <w:tr w14:paraId="02EE6EB8">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55A9443E">
            <w:pPr>
              <w:rPr>
                <w:lang w:eastAsia="zh-CN"/>
              </w:rPr>
            </w:pPr>
            <w:r>
              <w:rPr>
                <w:rFonts w:hint="eastAsia"/>
                <w:lang w:eastAsia="zh-CN"/>
              </w:rPr>
              <w:t>2.2.2</w:t>
            </w:r>
          </w:p>
        </w:tc>
        <w:tc>
          <w:tcPr>
            <w:tcW w:w="0" w:type="auto"/>
            <w:tcBorders>
              <w:top w:val="nil"/>
              <w:left w:val="nil"/>
              <w:bottom w:val="single" w:color="auto" w:sz="4" w:space="0"/>
              <w:right w:val="single" w:color="auto" w:sz="4" w:space="0"/>
            </w:tcBorders>
            <w:shd w:val="clear" w:color="auto" w:fill="auto"/>
            <w:vAlign w:val="center"/>
          </w:tcPr>
          <w:p w14:paraId="44F523D7">
            <w:pPr>
              <w:rPr>
                <w:lang w:eastAsia="zh-CN"/>
              </w:rPr>
            </w:pPr>
            <w:r>
              <w:rPr>
                <w:rFonts w:hint="eastAsia"/>
                <w:lang w:eastAsia="zh-CN"/>
              </w:rPr>
              <w:t>人员职责</w:t>
            </w:r>
          </w:p>
        </w:tc>
        <w:tc>
          <w:tcPr>
            <w:tcW w:w="6109" w:type="dxa"/>
            <w:tcBorders>
              <w:top w:val="nil"/>
              <w:left w:val="nil"/>
              <w:bottom w:val="single" w:color="auto" w:sz="4" w:space="0"/>
              <w:right w:val="single" w:color="auto" w:sz="4" w:space="0"/>
            </w:tcBorders>
            <w:shd w:val="clear" w:color="auto" w:fill="auto"/>
            <w:vAlign w:val="center"/>
          </w:tcPr>
          <w:p w14:paraId="6060EA50">
            <w:pPr>
              <w:rPr>
                <w:lang w:eastAsia="zh-CN"/>
              </w:rPr>
            </w:pPr>
            <w:r>
              <w:rPr>
                <w:rFonts w:hint="eastAsia"/>
                <w:lang w:eastAsia="zh-CN"/>
              </w:rPr>
              <w:t>园区碳计量体系文件中规定的人员职责是否涵盖本技术规范规定的内容。</w:t>
            </w:r>
          </w:p>
        </w:tc>
        <w:tc>
          <w:tcPr>
            <w:tcW w:w="0" w:type="auto"/>
            <w:tcBorders>
              <w:top w:val="nil"/>
              <w:left w:val="nil"/>
              <w:bottom w:val="single" w:color="auto" w:sz="4" w:space="0"/>
              <w:right w:val="single" w:color="auto" w:sz="4" w:space="0"/>
            </w:tcBorders>
            <w:shd w:val="clear" w:color="auto" w:fill="auto"/>
            <w:vAlign w:val="center"/>
          </w:tcPr>
          <w:p w14:paraId="003AAB7C">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06906C2B">
            <w:pPr>
              <w:rPr>
                <w:lang w:eastAsia="zh-CN"/>
              </w:rPr>
            </w:pPr>
            <w:r>
              <w:rPr>
                <w:rFonts w:hint="eastAsia"/>
                <w:lang w:eastAsia="zh-CN"/>
              </w:rPr>
              <w:t>文件审查</w:t>
            </w:r>
          </w:p>
          <w:p w14:paraId="48910F92">
            <w:pPr>
              <w:rPr>
                <w:lang w:eastAsia="zh-CN"/>
              </w:rPr>
            </w:pPr>
            <w:r>
              <w:rPr>
                <w:rFonts w:hint="eastAsia"/>
                <w:lang w:eastAsia="zh-CN"/>
              </w:rPr>
              <w:t>人员访谈</w:t>
            </w:r>
          </w:p>
        </w:tc>
        <w:tc>
          <w:tcPr>
            <w:tcW w:w="1749" w:type="dxa"/>
            <w:tcBorders>
              <w:top w:val="nil"/>
              <w:left w:val="nil"/>
              <w:bottom w:val="single" w:color="auto" w:sz="4" w:space="0"/>
              <w:right w:val="single" w:color="auto" w:sz="4" w:space="0"/>
            </w:tcBorders>
            <w:shd w:val="clear" w:color="auto" w:fill="auto"/>
            <w:noWrap/>
            <w:vAlign w:val="center"/>
          </w:tcPr>
          <w:p w14:paraId="28E2250C">
            <w:pPr>
              <w:rPr>
                <w:lang w:eastAsia="zh-CN"/>
              </w:rPr>
            </w:pPr>
            <w:r>
              <w:rPr>
                <w:rFonts w:hint="eastAsia"/>
                <w:lang w:eastAsia="zh-CN"/>
              </w:rPr>
              <w:t>　</w:t>
            </w:r>
          </w:p>
        </w:tc>
      </w:tr>
      <w:tr w14:paraId="043812D3">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6F10E6F">
            <w:pPr>
              <w:rPr>
                <w:lang w:eastAsia="zh-CN"/>
              </w:rPr>
            </w:pPr>
            <w:r>
              <w:rPr>
                <w:rFonts w:hint="eastAsia"/>
                <w:lang w:eastAsia="zh-CN"/>
              </w:rPr>
              <w:t>2.2.3</w:t>
            </w:r>
          </w:p>
        </w:tc>
        <w:tc>
          <w:tcPr>
            <w:tcW w:w="0" w:type="auto"/>
            <w:tcBorders>
              <w:top w:val="nil"/>
              <w:left w:val="nil"/>
              <w:bottom w:val="single" w:color="auto" w:sz="4" w:space="0"/>
              <w:right w:val="single" w:color="auto" w:sz="4" w:space="0"/>
            </w:tcBorders>
            <w:shd w:val="clear" w:color="auto" w:fill="auto"/>
            <w:vAlign w:val="center"/>
          </w:tcPr>
          <w:p w14:paraId="7263787D">
            <w:pPr>
              <w:rPr>
                <w:lang w:eastAsia="zh-CN"/>
              </w:rPr>
            </w:pPr>
            <w:r>
              <w:rPr>
                <w:rFonts w:hint="eastAsia"/>
                <w:lang w:eastAsia="zh-CN"/>
              </w:rPr>
              <w:t>人员培训</w:t>
            </w:r>
          </w:p>
        </w:tc>
        <w:tc>
          <w:tcPr>
            <w:tcW w:w="6109" w:type="dxa"/>
            <w:tcBorders>
              <w:top w:val="nil"/>
              <w:left w:val="nil"/>
              <w:bottom w:val="single" w:color="auto" w:sz="4" w:space="0"/>
              <w:right w:val="single" w:color="auto" w:sz="4" w:space="0"/>
            </w:tcBorders>
            <w:shd w:val="clear" w:color="auto" w:fill="auto"/>
            <w:vAlign w:val="center"/>
          </w:tcPr>
          <w:p w14:paraId="309C8025">
            <w:pPr>
              <w:rPr>
                <w:lang w:eastAsia="zh-CN"/>
              </w:rPr>
            </w:pPr>
            <w:r>
              <w:rPr>
                <w:rFonts w:hint="eastAsia"/>
                <w:lang w:eastAsia="zh-CN"/>
              </w:rPr>
              <w:t>人员是否定期接受碳计量技术和业务能力相关培训。</w:t>
            </w:r>
          </w:p>
        </w:tc>
        <w:tc>
          <w:tcPr>
            <w:tcW w:w="0" w:type="auto"/>
            <w:tcBorders>
              <w:top w:val="nil"/>
              <w:left w:val="nil"/>
              <w:bottom w:val="single" w:color="auto" w:sz="4" w:space="0"/>
              <w:right w:val="single" w:color="auto" w:sz="4" w:space="0"/>
            </w:tcBorders>
            <w:shd w:val="clear" w:color="auto" w:fill="auto"/>
            <w:vAlign w:val="center"/>
          </w:tcPr>
          <w:p w14:paraId="767A0BA4">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16A8C1C4">
            <w:pPr>
              <w:rPr>
                <w:lang w:eastAsia="zh-CN"/>
              </w:rPr>
            </w:pPr>
            <w:r>
              <w:rPr>
                <w:rFonts w:hint="eastAsia"/>
                <w:lang w:eastAsia="zh-CN"/>
              </w:rPr>
              <w:t>档案审查</w:t>
            </w:r>
          </w:p>
          <w:p w14:paraId="58495467">
            <w:pPr>
              <w:rPr>
                <w:lang w:eastAsia="zh-CN"/>
              </w:rPr>
            </w:pPr>
            <w:r>
              <w:rPr>
                <w:rFonts w:hint="eastAsia"/>
                <w:lang w:eastAsia="zh-CN"/>
              </w:rPr>
              <w:t>人员访谈</w:t>
            </w:r>
          </w:p>
        </w:tc>
        <w:tc>
          <w:tcPr>
            <w:tcW w:w="1749" w:type="dxa"/>
            <w:tcBorders>
              <w:top w:val="nil"/>
              <w:left w:val="nil"/>
              <w:bottom w:val="single" w:color="auto" w:sz="4" w:space="0"/>
              <w:right w:val="single" w:color="auto" w:sz="4" w:space="0"/>
            </w:tcBorders>
            <w:shd w:val="clear" w:color="auto" w:fill="auto"/>
            <w:noWrap/>
            <w:vAlign w:val="center"/>
          </w:tcPr>
          <w:p w14:paraId="5A4E8419">
            <w:pPr>
              <w:rPr>
                <w:lang w:eastAsia="zh-CN"/>
              </w:rPr>
            </w:pPr>
            <w:r>
              <w:rPr>
                <w:rFonts w:hint="eastAsia"/>
                <w:lang w:eastAsia="zh-CN"/>
              </w:rPr>
              <w:t>　</w:t>
            </w:r>
          </w:p>
        </w:tc>
      </w:tr>
      <w:tr w14:paraId="0B656D8F">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2F58A401">
            <w:pPr>
              <w:rPr>
                <w:lang w:eastAsia="zh-CN"/>
              </w:rPr>
            </w:pPr>
            <w:r>
              <w:rPr>
                <w:rFonts w:hint="eastAsia"/>
                <w:lang w:eastAsia="zh-CN"/>
              </w:rPr>
              <w:t>2.2.4</w:t>
            </w:r>
          </w:p>
        </w:tc>
        <w:tc>
          <w:tcPr>
            <w:tcW w:w="0" w:type="auto"/>
            <w:tcBorders>
              <w:top w:val="nil"/>
              <w:left w:val="nil"/>
              <w:bottom w:val="single" w:color="auto" w:sz="4" w:space="0"/>
              <w:right w:val="single" w:color="auto" w:sz="4" w:space="0"/>
            </w:tcBorders>
            <w:shd w:val="clear" w:color="auto" w:fill="auto"/>
            <w:vAlign w:val="center"/>
          </w:tcPr>
          <w:p w14:paraId="795B1236">
            <w:pPr>
              <w:rPr>
                <w:lang w:eastAsia="zh-CN"/>
              </w:rPr>
            </w:pPr>
            <w:r>
              <w:rPr>
                <w:rFonts w:hint="eastAsia"/>
                <w:lang w:eastAsia="zh-CN"/>
              </w:rPr>
              <w:t>人员资质</w:t>
            </w:r>
          </w:p>
        </w:tc>
        <w:tc>
          <w:tcPr>
            <w:tcW w:w="6109" w:type="dxa"/>
            <w:tcBorders>
              <w:top w:val="nil"/>
              <w:left w:val="nil"/>
              <w:bottom w:val="single" w:color="auto" w:sz="4" w:space="0"/>
              <w:right w:val="single" w:color="auto" w:sz="4" w:space="0"/>
            </w:tcBorders>
            <w:shd w:val="clear" w:color="auto" w:fill="auto"/>
            <w:vAlign w:val="center"/>
          </w:tcPr>
          <w:p w14:paraId="4806B1FF">
            <w:pPr>
              <w:rPr>
                <w:lang w:eastAsia="zh-CN"/>
              </w:rPr>
            </w:pPr>
            <w:r>
              <w:rPr>
                <w:rFonts w:hint="eastAsia"/>
                <w:lang w:eastAsia="zh-CN"/>
              </w:rPr>
              <w:t>园区企业是否建立和保存碳计量管理人员的相关资质能力的技术档案。</w:t>
            </w:r>
          </w:p>
        </w:tc>
        <w:tc>
          <w:tcPr>
            <w:tcW w:w="0" w:type="auto"/>
            <w:tcBorders>
              <w:top w:val="nil"/>
              <w:left w:val="nil"/>
              <w:bottom w:val="single" w:color="auto" w:sz="4" w:space="0"/>
              <w:right w:val="single" w:color="auto" w:sz="4" w:space="0"/>
            </w:tcBorders>
            <w:shd w:val="clear" w:color="auto" w:fill="auto"/>
            <w:vAlign w:val="center"/>
          </w:tcPr>
          <w:p w14:paraId="51B53113">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287E88E6">
            <w:pPr>
              <w:rPr>
                <w:lang w:eastAsia="zh-CN"/>
              </w:rPr>
            </w:pPr>
            <w:r>
              <w:rPr>
                <w:rFonts w:hint="eastAsia"/>
                <w:lang w:eastAsia="zh-CN"/>
              </w:rPr>
              <w:t>档案审查</w:t>
            </w:r>
          </w:p>
          <w:p w14:paraId="181E3244">
            <w:pPr>
              <w:rPr>
                <w:lang w:eastAsia="zh-CN"/>
              </w:rPr>
            </w:pPr>
            <w:r>
              <w:rPr>
                <w:rFonts w:hint="eastAsia"/>
                <w:lang w:eastAsia="zh-CN"/>
              </w:rPr>
              <w:t>人员访谈</w:t>
            </w:r>
          </w:p>
        </w:tc>
        <w:tc>
          <w:tcPr>
            <w:tcW w:w="1749" w:type="dxa"/>
            <w:tcBorders>
              <w:top w:val="nil"/>
              <w:left w:val="nil"/>
              <w:bottom w:val="single" w:color="auto" w:sz="4" w:space="0"/>
              <w:right w:val="single" w:color="auto" w:sz="4" w:space="0"/>
            </w:tcBorders>
            <w:shd w:val="clear" w:color="auto" w:fill="auto"/>
            <w:noWrap/>
            <w:vAlign w:val="center"/>
          </w:tcPr>
          <w:p w14:paraId="4886B963">
            <w:pPr>
              <w:rPr>
                <w:lang w:eastAsia="zh-CN"/>
              </w:rPr>
            </w:pPr>
          </w:p>
        </w:tc>
      </w:tr>
      <w:tr w14:paraId="30D77D3A">
        <w:tblPrEx>
          <w:tblCellMar>
            <w:top w:w="0" w:type="dxa"/>
            <w:left w:w="108" w:type="dxa"/>
            <w:bottom w:w="0" w:type="dxa"/>
            <w:right w:w="108" w:type="dxa"/>
          </w:tblCellMar>
        </w:tblPrEx>
        <w:trPr>
          <w:trHeight w:val="540" w:hRule="atLeast"/>
        </w:trPr>
        <w:tc>
          <w:tcPr>
            <w:tcW w:w="14670" w:type="dxa"/>
            <w:gridSpan w:val="6"/>
            <w:tcBorders>
              <w:top w:val="single" w:color="auto" w:sz="4" w:space="0"/>
              <w:left w:val="single" w:color="auto" w:sz="4" w:space="0"/>
              <w:bottom w:val="single" w:color="auto" w:sz="4" w:space="0"/>
              <w:right w:val="single" w:color="000000" w:sz="4" w:space="0"/>
            </w:tcBorders>
            <w:shd w:val="clear" w:color="auto" w:fill="F1F1F1" w:themeFill="background1" w:themeFillShade="F2"/>
            <w:vAlign w:val="center"/>
          </w:tcPr>
          <w:p w14:paraId="16450E6F">
            <w:pPr>
              <w:rPr>
                <w:lang w:eastAsia="zh-CN"/>
              </w:rPr>
            </w:pPr>
            <w:r>
              <w:rPr>
                <w:rFonts w:hint="eastAsia"/>
                <w:lang w:eastAsia="zh-CN"/>
              </w:rPr>
              <w:t>2.3 碳排放计量器具配置</w:t>
            </w:r>
          </w:p>
        </w:tc>
      </w:tr>
      <w:tr w14:paraId="20FEB804">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EF0E080">
            <w:pPr>
              <w:rPr>
                <w:lang w:eastAsia="zh-CN"/>
              </w:rPr>
            </w:pPr>
            <w:r>
              <w:rPr>
                <w:rFonts w:hint="eastAsia"/>
                <w:lang w:eastAsia="zh-CN"/>
              </w:rPr>
              <w:t>2.3.1</w:t>
            </w:r>
          </w:p>
        </w:tc>
        <w:tc>
          <w:tcPr>
            <w:tcW w:w="0" w:type="auto"/>
            <w:tcBorders>
              <w:top w:val="nil"/>
              <w:left w:val="nil"/>
              <w:bottom w:val="single" w:color="auto" w:sz="4" w:space="0"/>
              <w:right w:val="single" w:color="auto" w:sz="4" w:space="0"/>
            </w:tcBorders>
            <w:shd w:val="clear" w:color="auto" w:fill="auto"/>
            <w:vAlign w:val="center"/>
          </w:tcPr>
          <w:p w14:paraId="2DC5ECA5">
            <w:pPr>
              <w:rPr>
                <w:lang w:eastAsia="zh-CN"/>
              </w:rPr>
            </w:pPr>
            <w:r>
              <w:rPr>
                <w:rFonts w:hint="eastAsia" w:asciiTheme="minorEastAsia" w:hAnsiTheme="minorEastAsia"/>
                <w:lang w:eastAsia="zh-CN"/>
              </w:rPr>
              <w:t>★</w:t>
            </w:r>
            <w:r>
              <w:rPr>
                <w:rFonts w:hint="eastAsia"/>
                <w:lang w:eastAsia="zh-CN"/>
              </w:rPr>
              <w:t>器具配备规范</w:t>
            </w:r>
          </w:p>
        </w:tc>
        <w:tc>
          <w:tcPr>
            <w:tcW w:w="6109" w:type="dxa"/>
            <w:tcBorders>
              <w:top w:val="nil"/>
              <w:left w:val="nil"/>
              <w:bottom w:val="single" w:color="auto" w:sz="4" w:space="0"/>
              <w:right w:val="single" w:color="auto" w:sz="4" w:space="0"/>
            </w:tcBorders>
            <w:shd w:val="clear" w:color="auto" w:fill="auto"/>
            <w:vAlign w:val="center"/>
          </w:tcPr>
          <w:p w14:paraId="2F108273">
            <w:pPr>
              <w:rPr>
                <w:lang w:eastAsia="zh-CN"/>
              </w:rPr>
            </w:pPr>
            <w:r>
              <w:rPr>
                <w:rFonts w:hint="eastAsia"/>
                <w:lang w:eastAsia="zh-CN"/>
              </w:rPr>
              <w:t>园区企业碳排放计量器具是否符合JJF(皖)197-2025和GB 17167要求。</w:t>
            </w:r>
          </w:p>
        </w:tc>
        <w:tc>
          <w:tcPr>
            <w:tcW w:w="0" w:type="auto"/>
            <w:tcBorders>
              <w:top w:val="nil"/>
              <w:left w:val="nil"/>
              <w:bottom w:val="single" w:color="auto" w:sz="4" w:space="0"/>
              <w:right w:val="single" w:color="auto" w:sz="4" w:space="0"/>
            </w:tcBorders>
            <w:shd w:val="clear" w:color="auto" w:fill="auto"/>
            <w:vAlign w:val="center"/>
          </w:tcPr>
          <w:p w14:paraId="1DC8F524">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1B6DC592">
            <w:pPr>
              <w:rPr>
                <w:lang w:eastAsia="zh-CN"/>
              </w:rPr>
            </w:pPr>
            <w:r>
              <w:rPr>
                <w:rFonts w:hint="eastAsia"/>
                <w:lang w:eastAsia="zh-CN"/>
              </w:rPr>
              <w:t>台账检查</w:t>
            </w:r>
          </w:p>
          <w:p w14:paraId="73E4F69F">
            <w:pPr>
              <w:rPr>
                <w:lang w:eastAsia="zh-CN"/>
              </w:rPr>
            </w:pPr>
            <w:r>
              <w:rPr>
                <w:rFonts w:hint="eastAsia"/>
                <w:lang w:eastAsia="zh-CN"/>
              </w:rPr>
              <w:t>现场核查</w:t>
            </w:r>
          </w:p>
        </w:tc>
        <w:tc>
          <w:tcPr>
            <w:tcW w:w="1749" w:type="dxa"/>
            <w:tcBorders>
              <w:top w:val="nil"/>
              <w:left w:val="nil"/>
              <w:bottom w:val="single" w:color="auto" w:sz="4" w:space="0"/>
              <w:right w:val="single" w:color="auto" w:sz="4" w:space="0"/>
            </w:tcBorders>
            <w:shd w:val="clear" w:color="auto" w:fill="auto"/>
            <w:noWrap/>
            <w:vAlign w:val="center"/>
          </w:tcPr>
          <w:p w14:paraId="58F9C090">
            <w:pPr>
              <w:rPr>
                <w:lang w:eastAsia="zh-CN"/>
              </w:rPr>
            </w:pPr>
            <w:r>
              <w:rPr>
                <w:rFonts w:hint="eastAsia"/>
                <w:lang w:eastAsia="zh-CN"/>
              </w:rPr>
              <w:t>　</w:t>
            </w:r>
          </w:p>
        </w:tc>
      </w:tr>
      <w:tr w14:paraId="5AAE2459">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6679411">
            <w:pPr>
              <w:rPr>
                <w:lang w:eastAsia="zh-CN"/>
              </w:rPr>
            </w:pPr>
            <w:r>
              <w:rPr>
                <w:rFonts w:hint="eastAsia"/>
                <w:lang w:eastAsia="zh-CN"/>
              </w:rPr>
              <w:t>2.3.2</w:t>
            </w:r>
          </w:p>
        </w:tc>
        <w:tc>
          <w:tcPr>
            <w:tcW w:w="0" w:type="auto"/>
            <w:tcBorders>
              <w:top w:val="nil"/>
              <w:left w:val="nil"/>
              <w:bottom w:val="single" w:color="auto" w:sz="4" w:space="0"/>
              <w:right w:val="single" w:color="auto" w:sz="4" w:space="0"/>
            </w:tcBorders>
            <w:shd w:val="clear" w:color="auto" w:fill="auto"/>
            <w:vAlign w:val="center"/>
          </w:tcPr>
          <w:p w14:paraId="5D88C493">
            <w:pPr>
              <w:rPr>
                <w:rFonts w:asciiTheme="minorEastAsia" w:hAnsiTheme="minorEastAsia"/>
                <w:lang w:eastAsia="zh-CN"/>
              </w:rPr>
            </w:pPr>
            <w:r>
              <w:rPr>
                <w:rFonts w:hint="eastAsia" w:asciiTheme="minorEastAsia" w:hAnsiTheme="minorEastAsia"/>
                <w:lang w:eastAsia="zh-CN"/>
              </w:rPr>
              <w:t>器具监督管理</w:t>
            </w:r>
          </w:p>
        </w:tc>
        <w:tc>
          <w:tcPr>
            <w:tcW w:w="6109" w:type="dxa"/>
            <w:tcBorders>
              <w:top w:val="nil"/>
              <w:left w:val="nil"/>
              <w:bottom w:val="single" w:color="auto" w:sz="4" w:space="0"/>
              <w:right w:val="single" w:color="auto" w:sz="4" w:space="0"/>
            </w:tcBorders>
            <w:shd w:val="clear" w:color="auto" w:fill="auto"/>
            <w:vAlign w:val="center"/>
          </w:tcPr>
          <w:p w14:paraId="50C7FB58">
            <w:pPr>
              <w:rPr>
                <w:lang w:eastAsia="zh-CN"/>
              </w:rPr>
            </w:pPr>
            <w:r>
              <w:rPr>
                <w:rFonts w:hint="eastAsia"/>
                <w:lang w:eastAsia="zh-CN"/>
              </w:rPr>
              <w:t>园区碳计量主管部门对碳排放计量器具实施监督管理，组织对园区企业开展碳排放计量审查。</w:t>
            </w:r>
          </w:p>
        </w:tc>
        <w:tc>
          <w:tcPr>
            <w:tcW w:w="0" w:type="auto"/>
            <w:tcBorders>
              <w:top w:val="nil"/>
              <w:left w:val="nil"/>
              <w:bottom w:val="single" w:color="auto" w:sz="4" w:space="0"/>
              <w:right w:val="single" w:color="auto" w:sz="4" w:space="0"/>
            </w:tcBorders>
            <w:shd w:val="clear" w:color="auto" w:fill="auto"/>
            <w:vAlign w:val="center"/>
          </w:tcPr>
          <w:p w14:paraId="70029902">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4A8B39F8">
            <w:pPr>
              <w:rPr>
                <w:lang w:eastAsia="zh-CN"/>
              </w:rPr>
            </w:pPr>
            <w:r>
              <w:rPr>
                <w:rFonts w:hint="eastAsia"/>
                <w:lang w:eastAsia="zh-CN"/>
              </w:rPr>
              <w:t>记录审查</w:t>
            </w:r>
          </w:p>
          <w:p w14:paraId="04780773">
            <w:pPr>
              <w:rPr>
                <w:lang w:eastAsia="zh-CN"/>
              </w:rPr>
            </w:pPr>
            <w:r>
              <w:rPr>
                <w:rFonts w:hint="eastAsia"/>
                <w:lang w:eastAsia="zh-CN"/>
              </w:rPr>
              <w:t>现场核查</w:t>
            </w:r>
          </w:p>
        </w:tc>
        <w:tc>
          <w:tcPr>
            <w:tcW w:w="1749" w:type="dxa"/>
            <w:tcBorders>
              <w:top w:val="nil"/>
              <w:left w:val="nil"/>
              <w:bottom w:val="single" w:color="auto" w:sz="4" w:space="0"/>
              <w:right w:val="single" w:color="auto" w:sz="4" w:space="0"/>
            </w:tcBorders>
            <w:shd w:val="clear" w:color="auto" w:fill="auto"/>
            <w:noWrap/>
            <w:vAlign w:val="center"/>
          </w:tcPr>
          <w:p w14:paraId="4FC0BC46">
            <w:pPr>
              <w:rPr>
                <w:lang w:eastAsia="zh-CN"/>
              </w:rPr>
            </w:pPr>
          </w:p>
        </w:tc>
      </w:tr>
      <w:tr w14:paraId="5B83A78E">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E0EC354">
            <w:pPr>
              <w:rPr>
                <w:lang w:eastAsia="zh-CN"/>
              </w:rPr>
            </w:pPr>
            <w:r>
              <w:rPr>
                <w:rFonts w:hint="eastAsia"/>
                <w:lang w:eastAsia="zh-CN"/>
              </w:rPr>
              <w:t>2.3.3</w:t>
            </w:r>
          </w:p>
        </w:tc>
        <w:tc>
          <w:tcPr>
            <w:tcW w:w="0" w:type="auto"/>
            <w:tcBorders>
              <w:top w:val="nil"/>
              <w:left w:val="nil"/>
              <w:bottom w:val="single" w:color="auto" w:sz="4" w:space="0"/>
              <w:right w:val="single" w:color="auto" w:sz="4" w:space="0"/>
            </w:tcBorders>
            <w:shd w:val="clear" w:color="auto" w:fill="auto"/>
            <w:vAlign w:val="center"/>
          </w:tcPr>
          <w:p w14:paraId="36A97AC9">
            <w:pPr>
              <w:rPr>
                <w:lang w:eastAsia="zh-CN"/>
              </w:rPr>
            </w:pPr>
            <w:r>
              <w:rPr>
                <w:rFonts w:hint="eastAsia"/>
                <w:lang w:eastAsia="zh-CN"/>
              </w:rPr>
              <w:t>器具日常管理</w:t>
            </w:r>
          </w:p>
        </w:tc>
        <w:tc>
          <w:tcPr>
            <w:tcW w:w="6109" w:type="dxa"/>
            <w:tcBorders>
              <w:top w:val="nil"/>
              <w:left w:val="nil"/>
              <w:bottom w:val="single" w:color="auto" w:sz="4" w:space="0"/>
              <w:right w:val="single" w:color="auto" w:sz="4" w:space="0"/>
            </w:tcBorders>
            <w:shd w:val="clear" w:color="auto" w:fill="auto"/>
            <w:vAlign w:val="center"/>
          </w:tcPr>
          <w:p w14:paraId="2010B53C">
            <w:pPr>
              <w:rPr>
                <w:lang w:eastAsia="zh-CN"/>
              </w:rPr>
            </w:pPr>
            <w:r>
              <w:rPr>
                <w:rFonts w:hint="eastAsia"/>
                <w:lang w:eastAsia="zh-CN"/>
              </w:rPr>
              <w:t>园区企业是否建立设备台账，管理器具流转（封存、启封、报废等）。</w:t>
            </w:r>
          </w:p>
        </w:tc>
        <w:tc>
          <w:tcPr>
            <w:tcW w:w="0" w:type="auto"/>
            <w:tcBorders>
              <w:top w:val="nil"/>
              <w:left w:val="nil"/>
              <w:bottom w:val="single" w:color="auto" w:sz="4" w:space="0"/>
              <w:right w:val="single" w:color="auto" w:sz="4" w:space="0"/>
            </w:tcBorders>
            <w:shd w:val="clear" w:color="auto" w:fill="auto"/>
            <w:vAlign w:val="center"/>
          </w:tcPr>
          <w:p w14:paraId="7AE9DCC7">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7C529B47">
            <w:pPr>
              <w:rPr>
                <w:lang w:eastAsia="zh-CN"/>
              </w:rPr>
            </w:pPr>
            <w:r>
              <w:rPr>
                <w:rFonts w:hint="eastAsia"/>
                <w:lang w:eastAsia="zh-CN"/>
              </w:rPr>
              <w:t>台账检查</w:t>
            </w:r>
          </w:p>
          <w:p w14:paraId="2FEB4923">
            <w:pPr>
              <w:rPr>
                <w:lang w:eastAsia="zh-CN"/>
              </w:rPr>
            </w:pPr>
            <w:r>
              <w:rPr>
                <w:rFonts w:hint="eastAsia"/>
                <w:lang w:eastAsia="zh-CN"/>
              </w:rPr>
              <w:t>记录审查</w:t>
            </w:r>
          </w:p>
        </w:tc>
        <w:tc>
          <w:tcPr>
            <w:tcW w:w="1749" w:type="dxa"/>
            <w:tcBorders>
              <w:top w:val="nil"/>
              <w:left w:val="nil"/>
              <w:bottom w:val="single" w:color="auto" w:sz="4" w:space="0"/>
              <w:right w:val="single" w:color="auto" w:sz="4" w:space="0"/>
            </w:tcBorders>
            <w:shd w:val="clear" w:color="auto" w:fill="auto"/>
            <w:noWrap/>
            <w:vAlign w:val="center"/>
          </w:tcPr>
          <w:p w14:paraId="7D206F8F">
            <w:pPr>
              <w:rPr>
                <w:lang w:eastAsia="zh-CN"/>
              </w:rPr>
            </w:pPr>
            <w:r>
              <w:rPr>
                <w:rFonts w:hint="eastAsia"/>
                <w:lang w:eastAsia="zh-CN"/>
              </w:rPr>
              <w:t>　</w:t>
            </w:r>
          </w:p>
        </w:tc>
      </w:tr>
      <w:tr w14:paraId="1B182CBE">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27EA3EBD">
            <w:pPr>
              <w:rPr>
                <w:lang w:eastAsia="zh-CN"/>
              </w:rPr>
            </w:pPr>
            <w:r>
              <w:rPr>
                <w:rFonts w:hint="eastAsia"/>
                <w:lang w:eastAsia="zh-CN"/>
              </w:rPr>
              <w:t>2.3.4</w:t>
            </w:r>
          </w:p>
        </w:tc>
        <w:tc>
          <w:tcPr>
            <w:tcW w:w="0" w:type="auto"/>
            <w:tcBorders>
              <w:top w:val="nil"/>
              <w:left w:val="nil"/>
              <w:bottom w:val="single" w:color="auto" w:sz="4" w:space="0"/>
              <w:right w:val="single" w:color="auto" w:sz="4" w:space="0"/>
            </w:tcBorders>
            <w:shd w:val="clear" w:color="auto" w:fill="auto"/>
            <w:vAlign w:val="center"/>
          </w:tcPr>
          <w:p w14:paraId="74505CC4">
            <w:pPr>
              <w:rPr>
                <w:lang w:eastAsia="zh-CN"/>
              </w:rPr>
            </w:pPr>
            <w:r>
              <w:rPr>
                <w:rFonts w:hint="eastAsia" w:asciiTheme="minorEastAsia" w:hAnsiTheme="minorEastAsia"/>
                <w:lang w:eastAsia="zh-CN"/>
              </w:rPr>
              <w:t>★</w:t>
            </w:r>
            <w:r>
              <w:rPr>
                <w:rFonts w:hint="eastAsia"/>
                <w:lang w:eastAsia="zh-CN"/>
              </w:rPr>
              <w:t>器具溯源管理</w:t>
            </w:r>
          </w:p>
        </w:tc>
        <w:tc>
          <w:tcPr>
            <w:tcW w:w="6109" w:type="dxa"/>
            <w:tcBorders>
              <w:top w:val="nil"/>
              <w:left w:val="nil"/>
              <w:bottom w:val="single" w:color="auto" w:sz="4" w:space="0"/>
              <w:right w:val="single" w:color="auto" w:sz="4" w:space="0"/>
            </w:tcBorders>
            <w:shd w:val="clear" w:color="auto" w:fill="auto"/>
            <w:vAlign w:val="center"/>
          </w:tcPr>
          <w:p w14:paraId="454C5591">
            <w:pPr>
              <w:rPr>
                <w:lang w:eastAsia="zh-CN"/>
              </w:rPr>
            </w:pPr>
            <w:r>
              <w:rPr>
                <w:rFonts w:hint="eastAsia"/>
                <w:lang w:eastAsia="zh-CN"/>
              </w:rPr>
              <w:t>园区企业器具安装、使用前是否检定/校准，投入使用后是否采用合适方式实现有效溯源。</w:t>
            </w:r>
          </w:p>
        </w:tc>
        <w:tc>
          <w:tcPr>
            <w:tcW w:w="0" w:type="auto"/>
            <w:tcBorders>
              <w:top w:val="nil"/>
              <w:left w:val="nil"/>
              <w:bottom w:val="single" w:color="auto" w:sz="4" w:space="0"/>
              <w:right w:val="single" w:color="auto" w:sz="4" w:space="0"/>
            </w:tcBorders>
            <w:shd w:val="clear" w:color="auto" w:fill="auto"/>
            <w:vAlign w:val="center"/>
          </w:tcPr>
          <w:p w14:paraId="1A2A4C34">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2B03E06B">
            <w:pPr>
              <w:rPr>
                <w:lang w:eastAsia="zh-CN"/>
              </w:rPr>
            </w:pPr>
            <w:r>
              <w:rPr>
                <w:rFonts w:hint="eastAsia"/>
                <w:lang w:eastAsia="zh-CN"/>
              </w:rPr>
              <w:t>记录审查</w:t>
            </w:r>
          </w:p>
          <w:p w14:paraId="5B8E30C3">
            <w:pPr>
              <w:rPr>
                <w:lang w:eastAsia="zh-CN"/>
              </w:rPr>
            </w:pPr>
            <w:r>
              <w:rPr>
                <w:rFonts w:hint="eastAsia"/>
                <w:lang w:eastAsia="zh-CN"/>
              </w:rPr>
              <w:t>现场核查</w:t>
            </w:r>
          </w:p>
        </w:tc>
        <w:tc>
          <w:tcPr>
            <w:tcW w:w="1749" w:type="dxa"/>
            <w:tcBorders>
              <w:top w:val="nil"/>
              <w:left w:val="nil"/>
              <w:bottom w:val="single" w:color="auto" w:sz="4" w:space="0"/>
              <w:right w:val="single" w:color="auto" w:sz="4" w:space="0"/>
            </w:tcBorders>
            <w:shd w:val="clear" w:color="auto" w:fill="auto"/>
            <w:noWrap/>
            <w:vAlign w:val="center"/>
          </w:tcPr>
          <w:p w14:paraId="2230739F">
            <w:pPr>
              <w:rPr>
                <w:lang w:eastAsia="zh-CN"/>
              </w:rPr>
            </w:pPr>
            <w:r>
              <w:rPr>
                <w:rFonts w:hint="eastAsia"/>
                <w:lang w:eastAsia="zh-CN"/>
              </w:rPr>
              <w:t>　</w:t>
            </w:r>
          </w:p>
        </w:tc>
      </w:tr>
      <w:tr w14:paraId="3789BEE0">
        <w:tblPrEx>
          <w:tblCellMar>
            <w:top w:w="0" w:type="dxa"/>
            <w:left w:w="108" w:type="dxa"/>
            <w:bottom w:w="0" w:type="dxa"/>
            <w:right w:w="108" w:type="dxa"/>
          </w:tblCellMar>
        </w:tblPrEx>
        <w:trPr>
          <w:trHeight w:val="714" w:hRule="atLeast"/>
        </w:trPr>
        <w:tc>
          <w:tcPr>
            <w:tcW w:w="14670" w:type="dxa"/>
            <w:gridSpan w:val="6"/>
            <w:tcBorders>
              <w:top w:val="nil"/>
              <w:left w:val="single" w:color="auto" w:sz="4" w:space="0"/>
              <w:bottom w:val="single" w:color="auto" w:sz="4" w:space="0"/>
              <w:right w:val="single" w:color="auto" w:sz="4" w:space="0"/>
            </w:tcBorders>
            <w:shd w:val="clear" w:color="auto" w:fill="F1F1F1" w:themeFill="background1" w:themeFillShade="F2"/>
            <w:vAlign w:val="center"/>
          </w:tcPr>
          <w:p w14:paraId="5449D4E3">
            <w:pPr>
              <w:rPr>
                <w:lang w:eastAsia="zh-CN"/>
              </w:rPr>
            </w:pPr>
            <w:r>
              <w:rPr>
                <w:rFonts w:hint="eastAsia"/>
                <w:lang w:eastAsia="zh-CN"/>
              </w:rPr>
              <w:t>2.4碳计量技术推广</w:t>
            </w:r>
          </w:p>
        </w:tc>
      </w:tr>
      <w:tr w14:paraId="5A59F28D">
        <w:tblPrEx>
          <w:tblCellMar>
            <w:top w:w="0" w:type="dxa"/>
            <w:left w:w="108" w:type="dxa"/>
            <w:bottom w:w="0" w:type="dxa"/>
            <w:right w:w="108" w:type="dxa"/>
          </w:tblCellMar>
        </w:tblPrEx>
        <w:trPr>
          <w:trHeight w:val="699"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51A6AB4">
            <w:pPr>
              <w:rPr>
                <w:lang w:eastAsia="zh-CN"/>
              </w:rPr>
            </w:pPr>
            <w:r>
              <w:rPr>
                <w:rFonts w:hint="eastAsia"/>
                <w:lang w:eastAsia="zh-CN"/>
              </w:rPr>
              <w:t>2.3.1</w:t>
            </w:r>
          </w:p>
        </w:tc>
        <w:tc>
          <w:tcPr>
            <w:tcW w:w="0" w:type="auto"/>
            <w:tcBorders>
              <w:top w:val="nil"/>
              <w:left w:val="nil"/>
              <w:bottom w:val="single" w:color="auto" w:sz="4" w:space="0"/>
              <w:right w:val="single" w:color="auto" w:sz="4" w:space="0"/>
            </w:tcBorders>
            <w:shd w:val="clear" w:color="auto" w:fill="auto"/>
            <w:vAlign w:val="center"/>
          </w:tcPr>
          <w:p w14:paraId="77A79E88">
            <w:pPr>
              <w:rPr>
                <w:lang w:eastAsia="zh-CN"/>
              </w:rPr>
            </w:pPr>
            <w:r>
              <w:rPr>
                <w:rFonts w:hint="eastAsia"/>
                <w:lang w:eastAsia="zh-CN"/>
              </w:rPr>
              <w:t>数字化平台</w:t>
            </w:r>
          </w:p>
        </w:tc>
        <w:tc>
          <w:tcPr>
            <w:tcW w:w="6109" w:type="dxa"/>
            <w:tcBorders>
              <w:top w:val="nil"/>
              <w:left w:val="nil"/>
              <w:bottom w:val="single" w:color="auto" w:sz="4" w:space="0"/>
              <w:right w:val="single" w:color="auto" w:sz="4" w:space="0"/>
            </w:tcBorders>
            <w:shd w:val="clear" w:color="auto" w:fill="auto"/>
            <w:vAlign w:val="center"/>
          </w:tcPr>
          <w:p w14:paraId="70466CA8">
            <w:pPr>
              <w:jc w:val="both"/>
              <w:rPr>
                <w:lang w:eastAsia="zh-CN"/>
              </w:rPr>
            </w:pPr>
          </w:p>
          <w:p w14:paraId="03A6BB5A">
            <w:pPr>
              <w:jc w:val="both"/>
              <w:rPr>
                <w:lang w:eastAsia="zh-CN"/>
              </w:rPr>
            </w:pPr>
            <w:r>
              <w:rPr>
                <w:rFonts w:hint="eastAsia"/>
                <w:lang w:eastAsia="zh-CN"/>
              </w:rPr>
              <w:t>园区是否采用5G、物联网等技术搭建数据采集平台。</w:t>
            </w:r>
          </w:p>
          <w:p w14:paraId="07462F0E">
            <w:pPr>
              <w:jc w:val="both"/>
              <w:rPr>
                <w:lang w:eastAsia="zh-CN"/>
              </w:rPr>
            </w:pPr>
          </w:p>
          <w:p w14:paraId="2E0D7881">
            <w:pPr>
              <w:jc w:val="both"/>
              <w:rPr>
                <w:lang w:eastAsia="zh-CN"/>
              </w:rPr>
            </w:pPr>
          </w:p>
        </w:tc>
        <w:tc>
          <w:tcPr>
            <w:tcW w:w="0" w:type="auto"/>
            <w:tcBorders>
              <w:top w:val="nil"/>
              <w:left w:val="nil"/>
              <w:bottom w:val="single" w:color="auto" w:sz="4" w:space="0"/>
              <w:right w:val="single" w:color="auto" w:sz="4" w:space="0"/>
            </w:tcBorders>
            <w:shd w:val="clear" w:color="auto" w:fill="auto"/>
            <w:vAlign w:val="center"/>
          </w:tcPr>
          <w:p w14:paraId="1A39388B">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02DE72BE">
            <w:pPr>
              <w:rPr>
                <w:lang w:eastAsia="zh-CN"/>
              </w:rPr>
            </w:pPr>
            <w:r>
              <w:rPr>
                <w:rFonts w:hint="eastAsia"/>
                <w:lang w:eastAsia="zh-CN"/>
              </w:rPr>
              <w:t>系统演示</w:t>
            </w:r>
          </w:p>
          <w:p w14:paraId="7076358D">
            <w:pPr>
              <w:rPr>
                <w:lang w:eastAsia="zh-CN"/>
              </w:rPr>
            </w:pPr>
            <w:r>
              <w:rPr>
                <w:rFonts w:hint="eastAsia"/>
                <w:lang w:eastAsia="zh-CN"/>
              </w:rPr>
              <w:t>功能检查</w:t>
            </w:r>
          </w:p>
        </w:tc>
        <w:tc>
          <w:tcPr>
            <w:tcW w:w="1749" w:type="dxa"/>
            <w:tcBorders>
              <w:top w:val="nil"/>
              <w:left w:val="nil"/>
              <w:bottom w:val="single" w:color="auto" w:sz="4" w:space="0"/>
              <w:right w:val="single" w:color="auto" w:sz="4" w:space="0"/>
            </w:tcBorders>
            <w:shd w:val="clear" w:color="auto" w:fill="auto"/>
            <w:noWrap/>
            <w:vAlign w:val="center"/>
          </w:tcPr>
          <w:p w14:paraId="75CDCE57">
            <w:pPr>
              <w:rPr>
                <w:lang w:eastAsia="zh-CN"/>
              </w:rPr>
            </w:pPr>
            <w:r>
              <w:rPr>
                <w:rFonts w:hint="eastAsia"/>
                <w:lang w:eastAsia="zh-CN"/>
              </w:rPr>
              <w:t>　</w:t>
            </w:r>
          </w:p>
        </w:tc>
      </w:tr>
      <w:tr w14:paraId="3FC011F5">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5628FD9D">
            <w:pPr>
              <w:rPr>
                <w:lang w:eastAsia="zh-CN"/>
              </w:rPr>
            </w:pPr>
            <w:r>
              <w:rPr>
                <w:rFonts w:hint="eastAsia"/>
                <w:lang w:eastAsia="zh-CN"/>
              </w:rPr>
              <w:t>2.3.2</w:t>
            </w:r>
          </w:p>
        </w:tc>
        <w:tc>
          <w:tcPr>
            <w:tcW w:w="0" w:type="auto"/>
            <w:tcBorders>
              <w:top w:val="nil"/>
              <w:left w:val="nil"/>
              <w:bottom w:val="single" w:color="auto" w:sz="4" w:space="0"/>
              <w:right w:val="single" w:color="auto" w:sz="4" w:space="0"/>
            </w:tcBorders>
            <w:shd w:val="clear" w:color="auto" w:fill="auto"/>
            <w:vAlign w:val="center"/>
          </w:tcPr>
          <w:p w14:paraId="050658D4">
            <w:pPr>
              <w:rPr>
                <w:lang w:eastAsia="zh-CN"/>
              </w:rPr>
            </w:pPr>
            <w:r>
              <w:rPr>
                <w:rFonts w:hint="eastAsia"/>
                <w:lang w:eastAsia="zh-CN"/>
              </w:rPr>
              <w:t>监测技术应用</w:t>
            </w:r>
          </w:p>
        </w:tc>
        <w:tc>
          <w:tcPr>
            <w:tcW w:w="6109" w:type="dxa"/>
            <w:tcBorders>
              <w:top w:val="nil"/>
              <w:left w:val="nil"/>
              <w:bottom w:val="single" w:color="auto" w:sz="4" w:space="0"/>
              <w:right w:val="single" w:color="auto" w:sz="4" w:space="0"/>
            </w:tcBorders>
            <w:shd w:val="clear" w:color="auto" w:fill="auto"/>
            <w:vAlign w:val="center"/>
          </w:tcPr>
          <w:p w14:paraId="491DAB70">
            <w:pPr>
              <w:rPr>
                <w:lang w:eastAsia="zh-CN"/>
              </w:rPr>
            </w:pPr>
            <w:r>
              <w:rPr>
                <w:rFonts w:hint="eastAsia"/>
                <w:lang w:eastAsia="zh-CN"/>
              </w:rPr>
              <w:t>园区是否鼓励应用碳排放监测仪器和CCUS等关键技术。</w:t>
            </w:r>
          </w:p>
        </w:tc>
        <w:tc>
          <w:tcPr>
            <w:tcW w:w="0" w:type="auto"/>
            <w:tcBorders>
              <w:top w:val="nil"/>
              <w:left w:val="nil"/>
              <w:bottom w:val="single" w:color="auto" w:sz="4" w:space="0"/>
              <w:right w:val="single" w:color="auto" w:sz="4" w:space="0"/>
            </w:tcBorders>
            <w:shd w:val="clear" w:color="auto" w:fill="auto"/>
            <w:vAlign w:val="center"/>
          </w:tcPr>
          <w:p w14:paraId="2B188CAB">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4E783F27">
            <w:pPr>
              <w:rPr>
                <w:lang w:eastAsia="zh-CN"/>
              </w:rPr>
            </w:pPr>
            <w:r>
              <w:rPr>
                <w:rFonts w:hint="eastAsia"/>
                <w:lang w:eastAsia="zh-CN"/>
              </w:rPr>
              <w:t>技术应用调查</w:t>
            </w:r>
          </w:p>
          <w:p w14:paraId="17E0B60C">
            <w:pPr>
              <w:rPr>
                <w:lang w:eastAsia="zh-CN"/>
              </w:rPr>
            </w:pPr>
            <w:r>
              <w:rPr>
                <w:rFonts w:hint="eastAsia"/>
                <w:lang w:eastAsia="zh-CN"/>
              </w:rPr>
              <w:t>设备检查</w:t>
            </w:r>
          </w:p>
        </w:tc>
        <w:tc>
          <w:tcPr>
            <w:tcW w:w="1749" w:type="dxa"/>
            <w:tcBorders>
              <w:top w:val="nil"/>
              <w:left w:val="nil"/>
              <w:bottom w:val="single" w:color="auto" w:sz="4" w:space="0"/>
              <w:right w:val="single" w:color="auto" w:sz="4" w:space="0"/>
            </w:tcBorders>
            <w:shd w:val="clear" w:color="auto" w:fill="auto"/>
            <w:noWrap/>
            <w:vAlign w:val="center"/>
          </w:tcPr>
          <w:p w14:paraId="0FB77D7C">
            <w:pPr>
              <w:rPr>
                <w:lang w:eastAsia="zh-CN"/>
              </w:rPr>
            </w:pPr>
            <w:r>
              <w:rPr>
                <w:rFonts w:hint="eastAsia"/>
                <w:lang w:eastAsia="zh-CN"/>
              </w:rPr>
              <w:t>　</w:t>
            </w:r>
          </w:p>
        </w:tc>
      </w:tr>
      <w:tr w14:paraId="5F228CAB">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03D6E999">
            <w:pPr>
              <w:rPr>
                <w:lang w:eastAsia="zh-CN"/>
              </w:rPr>
            </w:pPr>
            <w:r>
              <w:rPr>
                <w:rFonts w:hint="eastAsia"/>
                <w:lang w:eastAsia="zh-CN"/>
              </w:rPr>
              <w:t>2.3.3</w:t>
            </w:r>
          </w:p>
        </w:tc>
        <w:tc>
          <w:tcPr>
            <w:tcW w:w="0" w:type="auto"/>
            <w:tcBorders>
              <w:top w:val="nil"/>
              <w:left w:val="nil"/>
              <w:bottom w:val="single" w:color="auto" w:sz="4" w:space="0"/>
              <w:right w:val="single" w:color="auto" w:sz="4" w:space="0"/>
            </w:tcBorders>
            <w:shd w:val="clear" w:color="auto" w:fill="auto"/>
            <w:vAlign w:val="center"/>
          </w:tcPr>
          <w:p w14:paraId="3D26506D">
            <w:pPr>
              <w:rPr>
                <w:lang w:eastAsia="zh-CN"/>
              </w:rPr>
            </w:pPr>
            <w:r>
              <w:rPr>
                <w:rFonts w:hint="eastAsia"/>
                <w:lang w:eastAsia="zh-CN"/>
              </w:rPr>
              <w:t>数据库建设</w:t>
            </w:r>
          </w:p>
        </w:tc>
        <w:tc>
          <w:tcPr>
            <w:tcW w:w="6109" w:type="dxa"/>
            <w:tcBorders>
              <w:top w:val="nil"/>
              <w:left w:val="nil"/>
              <w:bottom w:val="single" w:color="auto" w:sz="4" w:space="0"/>
              <w:right w:val="single" w:color="auto" w:sz="4" w:space="0"/>
            </w:tcBorders>
            <w:shd w:val="clear" w:color="auto" w:fill="auto"/>
            <w:vAlign w:val="center"/>
          </w:tcPr>
          <w:p w14:paraId="3DC38210">
            <w:pPr>
              <w:rPr>
                <w:lang w:eastAsia="zh-CN"/>
              </w:rPr>
            </w:pPr>
            <w:r>
              <w:rPr>
                <w:rFonts w:hint="eastAsia"/>
                <w:lang w:eastAsia="zh-CN"/>
              </w:rPr>
              <w:t>园区是否建立碳排放因子数据库，提升数据准确性。</w:t>
            </w:r>
          </w:p>
        </w:tc>
        <w:tc>
          <w:tcPr>
            <w:tcW w:w="0" w:type="auto"/>
            <w:tcBorders>
              <w:top w:val="nil"/>
              <w:left w:val="nil"/>
              <w:bottom w:val="single" w:color="auto" w:sz="4" w:space="0"/>
              <w:right w:val="single" w:color="auto" w:sz="4" w:space="0"/>
            </w:tcBorders>
            <w:shd w:val="clear" w:color="auto" w:fill="auto"/>
            <w:vAlign w:val="center"/>
          </w:tcPr>
          <w:p w14:paraId="30678395">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3A7A38A9">
            <w:pPr>
              <w:rPr>
                <w:lang w:eastAsia="zh-CN"/>
              </w:rPr>
            </w:pPr>
            <w:r>
              <w:rPr>
                <w:rFonts w:hint="eastAsia"/>
                <w:lang w:eastAsia="zh-CN"/>
              </w:rPr>
              <w:t>数据库检查</w:t>
            </w:r>
          </w:p>
          <w:p w14:paraId="65CA371B">
            <w:pPr>
              <w:rPr>
                <w:lang w:eastAsia="zh-CN"/>
              </w:rPr>
            </w:pPr>
            <w:r>
              <w:rPr>
                <w:rFonts w:hint="eastAsia"/>
                <w:lang w:eastAsia="zh-CN"/>
              </w:rPr>
              <w:t>数据验证评估</w:t>
            </w:r>
          </w:p>
        </w:tc>
        <w:tc>
          <w:tcPr>
            <w:tcW w:w="1749" w:type="dxa"/>
            <w:tcBorders>
              <w:top w:val="nil"/>
              <w:left w:val="nil"/>
              <w:bottom w:val="single" w:color="auto" w:sz="4" w:space="0"/>
              <w:right w:val="single" w:color="auto" w:sz="4" w:space="0"/>
            </w:tcBorders>
            <w:shd w:val="clear" w:color="auto" w:fill="auto"/>
            <w:noWrap/>
            <w:vAlign w:val="center"/>
          </w:tcPr>
          <w:p w14:paraId="100CF59E">
            <w:pPr>
              <w:rPr>
                <w:lang w:eastAsia="zh-CN"/>
              </w:rPr>
            </w:pPr>
            <w:r>
              <w:rPr>
                <w:rFonts w:hint="eastAsia"/>
                <w:lang w:eastAsia="zh-CN"/>
              </w:rPr>
              <w:t>　</w:t>
            </w:r>
          </w:p>
        </w:tc>
      </w:tr>
      <w:tr w14:paraId="6B6244D4">
        <w:tblPrEx>
          <w:tblCellMar>
            <w:top w:w="0" w:type="dxa"/>
            <w:left w:w="108" w:type="dxa"/>
            <w:bottom w:w="0" w:type="dxa"/>
            <w:right w:w="108" w:type="dxa"/>
          </w:tblCellMar>
        </w:tblPrEx>
        <w:trPr>
          <w:trHeight w:val="540" w:hRule="atLeast"/>
        </w:trPr>
        <w:tc>
          <w:tcPr>
            <w:tcW w:w="14670" w:type="dxa"/>
            <w:gridSpan w:val="6"/>
            <w:tcBorders>
              <w:top w:val="single" w:color="auto" w:sz="4" w:space="0"/>
              <w:left w:val="single" w:color="auto" w:sz="4" w:space="0"/>
              <w:bottom w:val="single" w:color="auto" w:sz="4" w:space="0"/>
              <w:right w:val="single" w:color="000000" w:sz="4" w:space="0"/>
            </w:tcBorders>
            <w:shd w:val="clear" w:color="auto" w:fill="F1F1F1" w:themeFill="background1" w:themeFillShade="F2"/>
            <w:vAlign w:val="center"/>
          </w:tcPr>
          <w:p w14:paraId="340C2703">
            <w:pPr>
              <w:rPr>
                <w:lang w:eastAsia="zh-CN"/>
              </w:rPr>
            </w:pPr>
            <w:r>
              <w:rPr>
                <w:rFonts w:hint="eastAsia"/>
                <w:lang w:eastAsia="zh-CN"/>
              </w:rPr>
              <w:t>3. 碳计量数据管理</w:t>
            </w:r>
          </w:p>
        </w:tc>
      </w:tr>
      <w:tr w14:paraId="3B9DCBC2">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5B1A7591">
            <w:pPr>
              <w:rPr>
                <w:lang w:eastAsia="zh-CN"/>
              </w:rPr>
            </w:pPr>
            <w:r>
              <w:rPr>
                <w:rFonts w:hint="eastAsia"/>
                <w:lang w:eastAsia="zh-CN"/>
              </w:rPr>
              <w:t>3.1</w:t>
            </w:r>
          </w:p>
        </w:tc>
        <w:tc>
          <w:tcPr>
            <w:tcW w:w="0" w:type="auto"/>
            <w:tcBorders>
              <w:top w:val="nil"/>
              <w:left w:val="nil"/>
              <w:bottom w:val="single" w:color="auto" w:sz="4" w:space="0"/>
              <w:right w:val="single" w:color="auto" w:sz="4" w:space="0"/>
            </w:tcBorders>
            <w:shd w:val="clear" w:color="auto" w:fill="auto"/>
            <w:vAlign w:val="center"/>
          </w:tcPr>
          <w:p w14:paraId="11C36FB2">
            <w:pPr>
              <w:rPr>
                <w:lang w:eastAsia="zh-CN"/>
              </w:rPr>
            </w:pPr>
            <w:r>
              <w:rPr>
                <w:rFonts w:hint="eastAsia" w:asciiTheme="minorEastAsia" w:hAnsiTheme="minorEastAsia"/>
                <w:lang w:eastAsia="zh-CN"/>
              </w:rPr>
              <w:t>★</w:t>
            </w:r>
            <w:r>
              <w:rPr>
                <w:rFonts w:hint="eastAsia"/>
                <w:lang w:eastAsia="zh-CN"/>
              </w:rPr>
              <w:t>数据采集要求</w:t>
            </w:r>
          </w:p>
        </w:tc>
        <w:tc>
          <w:tcPr>
            <w:tcW w:w="6109" w:type="dxa"/>
            <w:tcBorders>
              <w:top w:val="nil"/>
              <w:left w:val="nil"/>
              <w:bottom w:val="single" w:color="auto" w:sz="4" w:space="0"/>
              <w:right w:val="single" w:color="auto" w:sz="4" w:space="0"/>
            </w:tcBorders>
            <w:shd w:val="clear" w:color="auto" w:fill="auto"/>
            <w:vAlign w:val="center"/>
          </w:tcPr>
          <w:p w14:paraId="092EF124">
            <w:pPr>
              <w:rPr>
                <w:lang w:eastAsia="zh-CN"/>
              </w:rPr>
            </w:pPr>
            <w:r>
              <w:rPr>
                <w:rFonts w:hint="eastAsia"/>
                <w:lang w:eastAsia="zh-CN"/>
              </w:rPr>
              <w:t>园区碳计量数据是否完整、真实、准确、可靠，无伪造或篡改，并按规定的期限予以保存</w:t>
            </w:r>
          </w:p>
        </w:tc>
        <w:tc>
          <w:tcPr>
            <w:tcW w:w="0" w:type="auto"/>
            <w:tcBorders>
              <w:top w:val="nil"/>
              <w:left w:val="nil"/>
              <w:bottom w:val="single" w:color="auto" w:sz="4" w:space="0"/>
              <w:right w:val="single" w:color="auto" w:sz="4" w:space="0"/>
            </w:tcBorders>
            <w:shd w:val="clear" w:color="auto" w:fill="auto"/>
            <w:vAlign w:val="center"/>
          </w:tcPr>
          <w:p w14:paraId="56B12208">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1C357A98">
            <w:pPr>
              <w:rPr>
                <w:lang w:eastAsia="zh-CN"/>
              </w:rPr>
            </w:pPr>
            <w:r>
              <w:rPr>
                <w:rFonts w:hint="eastAsia"/>
                <w:lang w:eastAsia="zh-CN"/>
              </w:rPr>
              <w:t>抽样检查</w:t>
            </w:r>
          </w:p>
          <w:p w14:paraId="55D85465">
            <w:pPr>
              <w:rPr>
                <w:lang w:eastAsia="zh-CN"/>
              </w:rPr>
            </w:pPr>
            <w:r>
              <w:rPr>
                <w:rFonts w:hint="eastAsia"/>
                <w:lang w:eastAsia="zh-CN"/>
              </w:rPr>
              <w:t>系统核查</w:t>
            </w:r>
          </w:p>
        </w:tc>
        <w:tc>
          <w:tcPr>
            <w:tcW w:w="1749" w:type="dxa"/>
            <w:tcBorders>
              <w:top w:val="nil"/>
              <w:left w:val="nil"/>
              <w:bottom w:val="single" w:color="auto" w:sz="4" w:space="0"/>
              <w:right w:val="single" w:color="auto" w:sz="4" w:space="0"/>
            </w:tcBorders>
            <w:shd w:val="clear" w:color="auto" w:fill="auto"/>
            <w:noWrap/>
            <w:vAlign w:val="center"/>
          </w:tcPr>
          <w:p w14:paraId="21E405F9">
            <w:pPr>
              <w:rPr>
                <w:lang w:eastAsia="zh-CN"/>
              </w:rPr>
            </w:pPr>
            <w:r>
              <w:rPr>
                <w:rFonts w:hint="eastAsia"/>
                <w:lang w:eastAsia="zh-CN"/>
              </w:rPr>
              <w:t>　</w:t>
            </w:r>
          </w:p>
        </w:tc>
      </w:tr>
      <w:tr w14:paraId="6A926324">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712F7FAF">
            <w:pPr>
              <w:rPr>
                <w:lang w:eastAsia="zh-CN"/>
              </w:rPr>
            </w:pPr>
            <w:r>
              <w:rPr>
                <w:rFonts w:hint="eastAsia"/>
                <w:lang w:eastAsia="zh-CN"/>
              </w:rPr>
              <w:t>3.2</w:t>
            </w:r>
          </w:p>
        </w:tc>
        <w:tc>
          <w:tcPr>
            <w:tcW w:w="0" w:type="auto"/>
            <w:tcBorders>
              <w:top w:val="nil"/>
              <w:left w:val="nil"/>
              <w:bottom w:val="single" w:color="auto" w:sz="4" w:space="0"/>
              <w:right w:val="single" w:color="auto" w:sz="4" w:space="0"/>
            </w:tcBorders>
            <w:shd w:val="clear" w:color="auto" w:fill="auto"/>
            <w:vAlign w:val="center"/>
          </w:tcPr>
          <w:p w14:paraId="1965BD76">
            <w:pPr>
              <w:rPr>
                <w:lang w:eastAsia="zh-CN"/>
              </w:rPr>
            </w:pPr>
            <w:r>
              <w:rPr>
                <w:rFonts w:hint="eastAsia"/>
                <w:lang w:eastAsia="zh-CN"/>
              </w:rPr>
              <w:t>数据采集方式</w:t>
            </w:r>
          </w:p>
        </w:tc>
        <w:tc>
          <w:tcPr>
            <w:tcW w:w="6109" w:type="dxa"/>
            <w:tcBorders>
              <w:top w:val="nil"/>
              <w:left w:val="nil"/>
              <w:bottom w:val="single" w:color="auto" w:sz="4" w:space="0"/>
              <w:right w:val="single" w:color="auto" w:sz="4" w:space="0"/>
            </w:tcBorders>
            <w:shd w:val="clear" w:color="auto" w:fill="auto"/>
            <w:vAlign w:val="center"/>
          </w:tcPr>
          <w:p w14:paraId="682F3D47">
            <w:pPr>
              <w:rPr>
                <w:lang w:eastAsia="zh-CN"/>
              </w:rPr>
            </w:pPr>
            <w:r>
              <w:rPr>
                <w:rFonts w:hint="eastAsia"/>
                <w:lang w:eastAsia="zh-CN"/>
              </w:rPr>
              <w:t>园区碳计量数据是否建立人工采集、自动采集和第三方公正计量机制。</w:t>
            </w:r>
          </w:p>
        </w:tc>
        <w:tc>
          <w:tcPr>
            <w:tcW w:w="0" w:type="auto"/>
            <w:tcBorders>
              <w:top w:val="nil"/>
              <w:left w:val="nil"/>
              <w:bottom w:val="single" w:color="auto" w:sz="4" w:space="0"/>
              <w:right w:val="single" w:color="auto" w:sz="4" w:space="0"/>
            </w:tcBorders>
            <w:shd w:val="clear" w:color="auto" w:fill="auto"/>
            <w:vAlign w:val="center"/>
          </w:tcPr>
          <w:p w14:paraId="0336EEBE">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6540A623">
            <w:pPr>
              <w:rPr>
                <w:lang w:eastAsia="zh-CN"/>
              </w:rPr>
            </w:pPr>
            <w:r>
              <w:rPr>
                <w:rFonts w:hint="eastAsia"/>
                <w:lang w:eastAsia="zh-CN"/>
              </w:rPr>
              <w:t>流程检查</w:t>
            </w:r>
          </w:p>
          <w:p w14:paraId="145723DA">
            <w:pPr>
              <w:rPr>
                <w:lang w:eastAsia="zh-CN"/>
              </w:rPr>
            </w:pPr>
            <w:r>
              <w:rPr>
                <w:rFonts w:hint="eastAsia"/>
                <w:lang w:eastAsia="zh-CN"/>
              </w:rPr>
              <w:t>记录审查</w:t>
            </w:r>
          </w:p>
        </w:tc>
        <w:tc>
          <w:tcPr>
            <w:tcW w:w="1749" w:type="dxa"/>
            <w:tcBorders>
              <w:top w:val="nil"/>
              <w:left w:val="nil"/>
              <w:bottom w:val="single" w:color="auto" w:sz="4" w:space="0"/>
              <w:right w:val="single" w:color="auto" w:sz="4" w:space="0"/>
            </w:tcBorders>
            <w:shd w:val="clear" w:color="auto" w:fill="auto"/>
            <w:noWrap/>
            <w:vAlign w:val="center"/>
          </w:tcPr>
          <w:p w14:paraId="66D09FF4">
            <w:pPr>
              <w:rPr>
                <w:lang w:eastAsia="zh-CN"/>
              </w:rPr>
            </w:pPr>
            <w:r>
              <w:rPr>
                <w:rFonts w:hint="eastAsia"/>
                <w:lang w:eastAsia="zh-CN"/>
              </w:rPr>
              <w:t>　</w:t>
            </w:r>
          </w:p>
        </w:tc>
      </w:tr>
      <w:tr w14:paraId="0D5DE82B">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55D101F2">
            <w:pPr>
              <w:rPr>
                <w:lang w:eastAsia="zh-CN"/>
              </w:rPr>
            </w:pPr>
            <w:r>
              <w:rPr>
                <w:rFonts w:hint="eastAsia"/>
                <w:lang w:eastAsia="zh-CN"/>
              </w:rPr>
              <w:t>3.3</w:t>
            </w:r>
          </w:p>
        </w:tc>
        <w:tc>
          <w:tcPr>
            <w:tcW w:w="0" w:type="auto"/>
            <w:tcBorders>
              <w:top w:val="nil"/>
              <w:left w:val="nil"/>
              <w:bottom w:val="single" w:color="auto" w:sz="4" w:space="0"/>
              <w:right w:val="single" w:color="auto" w:sz="4" w:space="0"/>
            </w:tcBorders>
            <w:shd w:val="clear" w:color="auto" w:fill="auto"/>
            <w:vAlign w:val="center"/>
          </w:tcPr>
          <w:p w14:paraId="46FB9669">
            <w:pPr>
              <w:rPr>
                <w:lang w:eastAsia="zh-CN"/>
              </w:rPr>
            </w:pPr>
            <w:r>
              <w:rPr>
                <w:rFonts w:hint="eastAsia"/>
                <w:lang w:eastAsia="zh-CN"/>
              </w:rPr>
              <w:t>数据应用机制</w:t>
            </w:r>
          </w:p>
        </w:tc>
        <w:tc>
          <w:tcPr>
            <w:tcW w:w="6109" w:type="dxa"/>
            <w:tcBorders>
              <w:top w:val="nil"/>
              <w:left w:val="nil"/>
              <w:bottom w:val="single" w:color="auto" w:sz="4" w:space="0"/>
              <w:right w:val="single" w:color="auto" w:sz="4" w:space="0"/>
            </w:tcBorders>
            <w:shd w:val="clear" w:color="auto" w:fill="auto"/>
            <w:vAlign w:val="center"/>
          </w:tcPr>
          <w:p w14:paraId="26A92E14">
            <w:pPr>
              <w:rPr>
                <w:lang w:eastAsia="zh-CN"/>
              </w:rPr>
            </w:pPr>
            <w:r>
              <w:rPr>
                <w:rFonts w:hint="eastAsia"/>
                <w:lang w:eastAsia="zh-CN"/>
              </w:rPr>
              <w:t>园区是否将数据用于统计分析和制定降碳目标。</w:t>
            </w:r>
          </w:p>
        </w:tc>
        <w:tc>
          <w:tcPr>
            <w:tcW w:w="0" w:type="auto"/>
            <w:tcBorders>
              <w:top w:val="nil"/>
              <w:left w:val="nil"/>
              <w:bottom w:val="single" w:color="auto" w:sz="4" w:space="0"/>
              <w:right w:val="single" w:color="auto" w:sz="4" w:space="0"/>
            </w:tcBorders>
            <w:shd w:val="clear" w:color="auto" w:fill="auto"/>
            <w:vAlign w:val="center"/>
          </w:tcPr>
          <w:p w14:paraId="011CD11F">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5DEB5832">
            <w:pPr>
              <w:rPr>
                <w:lang w:eastAsia="zh-CN"/>
              </w:rPr>
            </w:pPr>
            <w:r>
              <w:rPr>
                <w:rFonts w:hint="eastAsia"/>
                <w:lang w:eastAsia="zh-CN"/>
              </w:rPr>
              <w:t>文件审查</w:t>
            </w:r>
          </w:p>
          <w:p w14:paraId="459EB95C">
            <w:pPr>
              <w:rPr>
                <w:lang w:eastAsia="zh-CN"/>
              </w:rPr>
            </w:pPr>
            <w:r>
              <w:rPr>
                <w:rFonts w:hint="eastAsia"/>
                <w:lang w:eastAsia="zh-CN"/>
              </w:rPr>
              <w:t>数据分析</w:t>
            </w:r>
          </w:p>
        </w:tc>
        <w:tc>
          <w:tcPr>
            <w:tcW w:w="1749" w:type="dxa"/>
            <w:tcBorders>
              <w:top w:val="nil"/>
              <w:left w:val="nil"/>
              <w:bottom w:val="single" w:color="auto" w:sz="4" w:space="0"/>
              <w:right w:val="single" w:color="auto" w:sz="4" w:space="0"/>
            </w:tcBorders>
            <w:shd w:val="clear" w:color="auto" w:fill="auto"/>
            <w:noWrap/>
            <w:vAlign w:val="center"/>
          </w:tcPr>
          <w:p w14:paraId="6D8914C7">
            <w:pPr>
              <w:rPr>
                <w:lang w:eastAsia="zh-CN"/>
              </w:rPr>
            </w:pPr>
            <w:r>
              <w:rPr>
                <w:rFonts w:hint="eastAsia"/>
                <w:lang w:eastAsia="zh-CN"/>
              </w:rPr>
              <w:t>　</w:t>
            </w:r>
          </w:p>
        </w:tc>
      </w:tr>
      <w:tr w14:paraId="5055F079">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B1AF98C">
            <w:pPr>
              <w:rPr>
                <w:lang w:eastAsia="zh-CN"/>
              </w:rPr>
            </w:pPr>
            <w:r>
              <w:rPr>
                <w:rFonts w:hint="eastAsia"/>
                <w:lang w:eastAsia="zh-CN"/>
              </w:rPr>
              <w:t>3.4</w:t>
            </w:r>
          </w:p>
        </w:tc>
        <w:tc>
          <w:tcPr>
            <w:tcW w:w="0" w:type="auto"/>
            <w:tcBorders>
              <w:top w:val="nil"/>
              <w:left w:val="nil"/>
              <w:bottom w:val="single" w:color="auto" w:sz="4" w:space="0"/>
              <w:right w:val="single" w:color="auto" w:sz="4" w:space="0"/>
            </w:tcBorders>
            <w:shd w:val="clear" w:color="auto" w:fill="auto"/>
            <w:vAlign w:val="center"/>
          </w:tcPr>
          <w:p w14:paraId="2FD01F58">
            <w:pPr>
              <w:rPr>
                <w:lang w:eastAsia="zh-CN"/>
              </w:rPr>
            </w:pPr>
            <w:r>
              <w:rPr>
                <w:rFonts w:hint="eastAsia"/>
                <w:lang w:eastAsia="zh-CN"/>
              </w:rPr>
              <w:t>数据安全保障</w:t>
            </w:r>
          </w:p>
        </w:tc>
        <w:tc>
          <w:tcPr>
            <w:tcW w:w="6109" w:type="dxa"/>
            <w:tcBorders>
              <w:top w:val="nil"/>
              <w:left w:val="nil"/>
              <w:bottom w:val="single" w:color="auto" w:sz="4" w:space="0"/>
              <w:right w:val="single" w:color="auto" w:sz="4" w:space="0"/>
            </w:tcBorders>
            <w:shd w:val="clear" w:color="auto" w:fill="auto"/>
            <w:vAlign w:val="center"/>
          </w:tcPr>
          <w:p w14:paraId="614AA74D">
            <w:pPr>
              <w:rPr>
                <w:lang w:eastAsia="zh-CN"/>
              </w:rPr>
            </w:pPr>
            <w:r>
              <w:rPr>
                <w:rFonts w:hint="eastAsia"/>
                <w:lang w:eastAsia="zh-CN"/>
              </w:rPr>
              <w:t>园区是否确保数据安全和隐私保护，防止泄露和滥用。</w:t>
            </w:r>
          </w:p>
        </w:tc>
        <w:tc>
          <w:tcPr>
            <w:tcW w:w="0" w:type="auto"/>
            <w:tcBorders>
              <w:top w:val="nil"/>
              <w:left w:val="nil"/>
              <w:bottom w:val="single" w:color="auto" w:sz="4" w:space="0"/>
              <w:right w:val="single" w:color="auto" w:sz="4" w:space="0"/>
            </w:tcBorders>
            <w:shd w:val="clear" w:color="auto" w:fill="auto"/>
            <w:vAlign w:val="center"/>
          </w:tcPr>
          <w:p w14:paraId="405C904F">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530F0267">
            <w:pPr>
              <w:rPr>
                <w:lang w:eastAsia="zh-CN"/>
              </w:rPr>
            </w:pPr>
            <w:r>
              <w:rPr>
                <w:rFonts w:hint="eastAsia"/>
                <w:lang w:eastAsia="zh-CN"/>
              </w:rPr>
              <w:t>安全措施检查</w:t>
            </w:r>
          </w:p>
          <w:p w14:paraId="1B0548CB">
            <w:pPr>
              <w:rPr>
                <w:lang w:eastAsia="zh-CN"/>
              </w:rPr>
            </w:pPr>
            <w:r>
              <w:rPr>
                <w:rFonts w:hint="eastAsia"/>
                <w:lang w:eastAsia="zh-CN"/>
              </w:rPr>
              <w:t>流程审查</w:t>
            </w:r>
          </w:p>
        </w:tc>
        <w:tc>
          <w:tcPr>
            <w:tcW w:w="1749" w:type="dxa"/>
            <w:tcBorders>
              <w:top w:val="nil"/>
              <w:left w:val="nil"/>
              <w:bottom w:val="single" w:color="auto" w:sz="4" w:space="0"/>
              <w:right w:val="single" w:color="auto" w:sz="4" w:space="0"/>
            </w:tcBorders>
            <w:shd w:val="clear" w:color="auto" w:fill="auto"/>
            <w:noWrap/>
            <w:vAlign w:val="center"/>
          </w:tcPr>
          <w:p w14:paraId="7AF340FD">
            <w:pPr>
              <w:rPr>
                <w:lang w:eastAsia="zh-CN"/>
              </w:rPr>
            </w:pPr>
            <w:r>
              <w:rPr>
                <w:rFonts w:hint="eastAsia"/>
                <w:lang w:eastAsia="zh-CN"/>
              </w:rPr>
              <w:t>　</w:t>
            </w:r>
          </w:p>
        </w:tc>
      </w:tr>
      <w:tr w14:paraId="2150C148">
        <w:tblPrEx>
          <w:tblCellMar>
            <w:top w:w="0" w:type="dxa"/>
            <w:left w:w="108" w:type="dxa"/>
            <w:bottom w:w="0" w:type="dxa"/>
            <w:right w:w="108" w:type="dxa"/>
          </w:tblCellMar>
        </w:tblPrEx>
        <w:trPr>
          <w:trHeight w:val="540" w:hRule="atLeast"/>
        </w:trPr>
        <w:tc>
          <w:tcPr>
            <w:tcW w:w="14670" w:type="dxa"/>
            <w:gridSpan w:val="6"/>
            <w:tcBorders>
              <w:top w:val="single" w:color="auto" w:sz="4" w:space="0"/>
              <w:left w:val="single" w:color="auto" w:sz="4" w:space="0"/>
              <w:bottom w:val="single" w:color="auto" w:sz="4" w:space="0"/>
              <w:right w:val="single" w:color="000000" w:sz="4" w:space="0"/>
            </w:tcBorders>
            <w:shd w:val="clear" w:color="auto" w:fill="F1F1F1" w:themeFill="background1" w:themeFillShade="F2"/>
            <w:vAlign w:val="center"/>
          </w:tcPr>
          <w:p w14:paraId="2ABD5E23">
            <w:pPr>
              <w:rPr>
                <w:lang w:eastAsia="zh-CN"/>
              </w:rPr>
            </w:pPr>
            <w:r>
              <w:rPr>
                <w:rFonts w:hint="eastAsia"/>
                <w:lang w:eastAsia="zh-CN"/>
              </w:rPr>
              <w:t>4. 管理体系</w:t>
            </w:r>
          </w:p>
        </w:tc>
      </w:tr>
      <w:tr w14:paraId="15846B45">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78C3C502">
            <w:pPr>
              <w:rPr>
                <w:lang w:eastAsia="zh-CN"/>
              </w:rPr>
            </w:pPr>
            <w:r>
              <w:rPr>
                <w:rFonts w:hint="eastAsia"/>
                <w:lang w:eastAsia="zh-CN"/>
              </w:rPr>
              <w:t>4.1</w:t>
            </w:r>
          </w:p>
        </w:tc>
        <w:tc>
          <w:tcPr>
            <w:tcW w:w="0" w:type="auto"/>
            <w:tcBorders>
              <w:top w:val="nil"/>
              <w:left w:val="nil"/>
              <w:bottom w:val="single" w:color="auto" w:sz="4" w:space="0"/>
              <w:right w:val="single" w:color="auto" w:sz="4" w:space="0"/>
            </w:tcBorders>
            <w:shd w:val="clear" w:color="auto" w:fill="auto"/>
            <w:vAlign w:val="center"/>
          </w:tcPr>
          <w:p w14:paraId="763B21D7">
            <w:pPr>
              <w:rPr>
                <w:lang w:eastAsia="zh-CN"/>
              </w:rPr>
            </w:pPr>
            <w:r>
              <w:rPr>
                <w:rFonts w:hint="eastAsia" w:asciiTheme="minorEastAsia" w:hAnsiTheme="minorEastAsia"/>
                <w:lang w:eastAsia="zh-CN"/>
              </w:rPr>
              <w:t>★运行方式</w:t>
            </w:r>
          </w:p>
        </w:tc>
        <w:tc>
          <w:tcPr>
            <w:tcW w:w="6109" w:type="dxa"/>
            <w:tcBorders>
              <w:top w:val="nil"/>
              <w:left w:val="nil"/>
              <w:bottom w:val="single" w:color="auto" w:sz="4" w:space="0"/>
              <w:right w:val="single" w:color="auto" w:sz="4" w:space="0"/>
            </w:tcBorders>
            <w:shd w:val="clear" w:color="auto" w:fill="auto"/>
            <w:vAlign w:val="center"/>
          </w:tcPr>
          <w:p w14:paraId="215E6C3E">
            <w:pPr>
              <w:rPr>
                <w:lang w:eastAsia="zh-CN"/>
              </w:rPr>
            </w:pPr>
            <w:r>
              <w:rPr>
                <w:rFonts w:hint="eastAsia"/>
                <w:lang w:eastAsia="zh-CN"/>
              </w:rPr>
              <w:t>园区的碳计量主管部门是否对园区企业建立、编制、实施和保持碳计量管理体系进行指导。</w:t>
            </w:r>
          </w:p>
        </w:tc>
        <w:tc>
          <w:tcPr>
            <w:tcW w:w="0" w:type="auto"/>
            <w:tcBorders>
              <w:top w:val="nil"/>
              <w:left w:val="nil"/>
              <w:bottom w:val="single" w:color="auto" w:sz="4" w:space="0"/>
              <w:right w:val="single" w:color="auto" w:sz="4" w:space="0"/>
            </w:tcBorders>
            <w:shd w:val="clear" w:color="auto" w:fill="auto"/>
            <w:vAlign w:val="center"/>
          </w:tcPr>
          <w:p w14:paraId="6775B575">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217545BA">
            <w:pPr>
              <w:rPr>
                <w:lang w:eastAsia="zh-CN"/>
              </w:rPr>
            </w:pPr>
            <w:r>
              <w:rPr>
                <w:rFonts w:hint="eastAsia"/>
                <w:lang w:eastAsia="zh-CN"/>
              </w:rPr>
              <w:t>文件审查</w:t>
            </w:r>
          </w:p>
          <w:p w14:paraId="26633E19">
            <w:pPr>
              <w:rPr>
                <w:lang w:eastAsia="zh-CN"/>
              </w:rPr>
            </w:pPr>
            <w:r>
              <w:rPr>
                <w:rFonts w:hint="eastAsia"/>
                <w:lang w:eastAsia="zh-CN"/>
              </w:rPr>
              <w:t>内容评估</w:t>
            </w:r>
          </w:p>
        </w:tc>
        <w:tc>
          <w:tcPr>
            <w:tcW w:w="1749" w:type="dxa"/>
            <w:tcBorders>
              <w:top w:val="nil"/>
              <w:left w:val="nil"/>
              <w:bottom w:val="single" w:color="auto" w:sz="4" w:space="0"/>
              <w:right w:val="single" w:color="auto" w:sz="4" w:space="0"/>
            </w:tcBorders>
            <w:shd w:val="clear" w:color="auto" w:fill="auto"/>
            <w:noWrap/>
            <w:vAlign w:val="center"/>
          </w:tcPr>
          <w:p w14:paraId="1151B5E5">
            <w:pPr>
              <w:rPr>
                <w:lang w:eastAsia="zh-CN"/>
              </w:rPr>
            </w:pPr>
            <w:r>
              <w:rPr>
                <w:rFonts w:hint="eastAsia"/>
                <w:lang w:eastAsia="zh-CN"/>
              </w:rPr>
              <w:t>　</w:t>
            </w:r>
          </w:p>
        </w:tc>
      </w:tr>
      <w:tr w14:paraId="43099641">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21FCC6B5">
            <w:pPr>
              <w:rPr>
                <w:lang w:eastAsia="zh-CN"/>
              </w:rPr>
            </w:pPr>
            <w:r>
              <w:rPr>
                <w:rFonts w:hint="eastAsia"/>
                <w:lang w:eastAsia="zh-CN"/>
              </w:rPr>
              <w:t>4.2</w:t>
            </w:r>
          </w:p>
        </w:tc>
        <w:tc>
          <w:tcPr>
            <w:tcW w:w="0" w:type="auto"/>
            <w:tcBorders>
              <w:top w:val="nil"/>
              <w:left w:val="nil"/>
              <w:bottom w:val="single" w:color="auto" w:sz="4" w:space="0"/>
              <w:right w:val="single" w:color="auto" w:sz="4" w:space="0"/>
            </w:tcBorders>
            <w:shd w:val="clear" w:color="auto" w:fill="auto"/>
            <w:vAlign w:val="center"/>
          </w:tcPr>
          <w:p w14:paraId="3B5F66BA">
            <w:pPr>
              <w:rPr>
                <w:rFonts w:asciiTheme="minorEastAsia" w:hAnsiTheme="minorEastAsia"/>
                <w:lang w:eastAsia="zh-CN"/>
              </w:rPr>
            </w:pPr>
            <w:r>
              <w:rPr>
                <w:rFonts w:hint="eastAsia" w:asciiTheme="minorEastAsia" w:hAnsiTheme="minorEastAsia"/>
                <w:lang w:eastAsia="zh-CN"/>
              </w:rPr>
              <w:t>★</w:t>
            </w:r>
            <w:r>
              <w:rPr>
                <w:rFonts w:hint="eastAsia"/>
                <w:lang w:eastAsia="zh-CN"/>
              </w:rPr>
              <w:t>管理体系文件</w:t>
            </w:r>
          </w:p>
        </w:tc>
        <w:tc>
          <w:tcPr>
            <w:tcW w:w="6109" w:type="dxa"/>
            <w:tcBorders>
              <w:top w:val="nil"/>
              <w:left w:val="nil"/>
              <w:bottom w:val="single" w:color="auto" w:sz="4" w:space="0"/>
              <w:right w:val="single" w:color="auto" w:sz="4" w:space="0"/>
            </w:tcBorders>
            <w:shd w:val="clear" w:color="auto" w:fill="auto"/>
            <w:vAlign w:val="center"/>
          </w:tcPr>
          <w:p w14:paraId="43567132">
            <w:pPr>
              <w:rPr>
                <w:lang w:eastAsia="zh-CN"/>
              </w:rPr>
            </w:pPr>
            <w:r>
              <w:rPr>
                <w:rFonts w:hint="eastAsia"/>
                <w:lang w:eastAsia="zh-CN"/>
              </w:rPr>
              <w:t>园区企业是否编制碳计量管理体系文件并详细阐述工作要求。</w:t>
            </w:r>
          </w:p>
        </w:tc>
        <w:tc>
          <w:tcPr>
            <w:tcW w:w="0" w:type="auto"/>
            <w:tcBorders>
              <w:top w:val="nil"/>
              <w:left w:val="nil"/>
              <w:bottom w:val="single" w:color="auto" w:sz="4" w:space="0"/>
              <w:right w:val="single" w:color="auto" w:sz="4" w:space="0"/>
            </w:tcBorders>
            <w:shd w:val="clear" w:color="auto" w:fill="auto"/>
            <w:vAlign w:val="center"/>
          </w:tcPr>
          <w:p w14:paraId="08042931">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4383ACCD">
            <w:pPr>
              <w:rPr>
                <w:lang w:eastAsia="zh-CN"/>
              </w:rPr>
            </w:pPr>
            <w:r>
              <w:rPr>
                <w:rFonts w:hint="eastAsia"/>
                <w:lang w:eastAsia="zh-CN"/>
              </w:rPr>
              <w:t>文件审查</w:t>
            </w:r>
          </w:p>
          <w:p w14:paraId="5AA67F76">
            <w:pPr>
              <w:rPr>
                <w:lang w:eastAsia="zh-CN"/>
              </w:rPr>
            </w:pPr>
            <w:r>
              <w:rPr>
                <w:rFonts w:hint="eastAsia"/>
                <w:lang w:eastAsia="zh-CN"/>
              </w:rPr>
              <w:t>内容评估</w:t>
            </w:r>
          </w:p>
        </w:tc>
        <w:tc>
          <w:tcPr>
            <w:tcW w:w="1749" w:type="dxa"/>
            <w:tcBorders>
              <w:top w:val="nil"/>
              <w:left w:val="nil"/>
              <w:bottom w:val="single" w:color="auto" w:sz="4" w:space="0"/>
              <w:right w:val="single" w:color="auto" w:sz="4" w:space="0"/>
            </w:tcBorders>
            <w:shd w:val="clear" w:color="auto" w:fill="auto"/>
            <w:noWrap/>
            <w:vAlign w:val="center"/>
          </w:tcPr>
          <w:p w14:paraId="59A38B99">
            <w:pPr>
              <w:rPr>
                <w:lang w:eastAsia="zh-CN"/>
              </w:rPr>
            </w:pPr>
            <w:r>
              <w:rPr>
                <w:rFonts w:hint="eastAsia"/>
                <w:lang w:eastAsia="zh-CN"/>
              </w:rPr>
              <w:t>　</w:t>
            </w:r>
          </w:p>
        </w:tc>
      </w:tr>
      <w:tr w14:paraId="59B1DBCD">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89F81AB">
            <w:pPr>
              <w:rPr>
                <w:lang w:eastAsia="zh-CN"/>
              </w:rPr>
            </w:pPr>
            <w:r>
              <w:rPr>
                <w:rFonts w:hint="eastAsia"/>
                <w:lang w:eastAsia="zh-CN"/>
              </w:rPr>
              <w:t>4.3</w:t>
            </w:r>
          </w:p>
        </w:tc>
        <w:tc>
          <w:tcPr>
            <w:tcW w:w="0" w:type="auto"/>
            <w:tcBorders>
              <w:top w:val="nil"/>
              <w:left w:val="nil"/>
              <w:bottom w:val="single" w:color="auto" w:sz="4" w:space="0"/>
              <w:right w:val="single" w:color="auto" w:sz="4" w:space="0"/>
            </w:tcBorders>
            <w:shd w:val="clear" w:color="auto" w:fill="auto"/>
            <w:vAlign w:val="center"/>
          </w:tcPr>
          <w:p w14:paraId="1B3A60A7">
            <w:pPr>
              <w:rPr>
                <w:lang w:eastAsia="zh-CN"/>
              </w:rPr>
            </w:pPr>
            <w:r>
              <w:rPr>
                <w:rFonts w:hint="eastAsia"/>
                <w:lang w:eastAsia="zh-CN"/>
              </w:rPr>
              <w:t>文件控制</w:t>
            </w:r>
          </w:p>
        </w:tc>
        <w:tc>
          <w:tcPr>
            <w:tcW w:w="6109" w:type="dxa"/>
            <w:tcBorders>
              <w:top w:val="nil"/>
              <w:left w:val="nil"/>
              <w:bottom w:val="single" w:color="auto" w:sz="4" w:space="0"/>
              <w:right w:val="single" w:color="auto" w:sz="4" w:space="0"/>
            </w:tcBorders>
            <w:shd w:val="clear" w:color="auto" w:fill="auto"/>
            <w:vAlign w:val="center"/>
          </w:tcPr>
          <w:p w14:paraId="7754536C">
            <w:pPr>
              <w:rPr>
                <w:lang w:eastAsia="zh-CN"/>
              </w:rPr>
            </w:pPr>
            <w:r>
              <w:rPr>
                <w:rFonts w:hint="eastAsia"/>
                <w:lang w:eastAsia="zh-CN"/>
              </w:rPr>
              <w:t>园区企业碳计量管理体系文件发布发布前是否评审、审核和批准，是否有唯一性标识。</w:t>
            </w:r>
          </w:p>
        </w:tc>
        <w:tc>
          <w:tcPr>
            <w:tcW w:w="0" w:type="auto"/>
            <w:tcBorders>
              <w:top w:val="nil"/>
              <w:left w:val="nil"/>
              <w:bottom w:val="single" w:color="auto" w:sz="4" w:space="0"/>
              <w:right w:val="single" w:color="auto" w:sz="4" w:space="0"/>
            </w:tcBorders>
            <w:shd w:val="clear" w:color="auto" w:fill="auto"/>
            <w:vAlign w:val="center"/>
          </w:tcPr>
          <w:p w14:paraId="08AC400F">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615E788F">
            <w:pPr>
              <w:rPr>
                <w:lang w:eastAsia="zh-CN"/>
              </w:rPr>
            </w:pPr>
            <w:r>
              <w:rPr>
                <w:rFonts w:hint="eastAsia"/>
                <w:lang w:eastAsia="zh-CN"/>
              </w:rPr>
              <w:t>文件管理检查</w:t>
            </w:r>
          </w:p>
          <w:p w14:paraId="5AC65B91">
            <w:pPr>
              <w:rPr>
                <w:lang w:eastAsia="zh-CN"/>
              </w:rPr>
            </w:pPr>
            <w:r>
              <w:rPr>
                <w:rFonts w:hint="eastAsia"/>
                <w:lang w:eastAsia="zh-CN"/>
              </w:rPr>
              <w:t>版本审查</w:t>
            </w:r>
          </w:p>
        </w:tc>
        <w:tc>
          <w:tcPr>
            <w:tcW w:w="1749" w:type="dxa"/>
            <w:tcBorders>
              <w:top w:val="nil"/>
              <w:left w:val="nil"/>
              <w:bottom w:val="single" w:color="auto" w:sz="4" w:space="0"/>
              <w:right w:val="single" w:color="auto" w:sz="4" w:space="0"/>
            </w:tcBorders>
            <w:shd w:val="clear" w:color="auto" w:fill="auto"/>
            <w:noWrap/>
            <w:vAlign w:val="center"/>
          </w:tcPr>
          <w:p w14:paraId="0B106271">
            <w:pPr>
              <w:rPr>
                <w:lang w:eastAsia="zh-CN"/>
              </w:rPr>
            </w:pPr>
            <w:r>
              <w:rPr>
                <w:rFonts w:hint="eastAsia"/>
                <w:lang w:eastAsia="zh-CN"/>
              </w:rPr>
              <w:t>　</w:t>
            </w:r>
          </w:p>
        </w:tc>
      </w:tr>
      <w:tr w14:paraId="1AE7D1FF">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D1CA541">
            <w:pPr>
              <w:rPr>
                <w:lang w:eastAsia="zh-CN"/>
              </w:rPr>
            </w:pPr>
            <w:r>
              <w:rPr>
                <w:rFonts w:hint="eastAsia"/>
                <w:lang w:eastAsia="zh-CN"/>
              </w:rPr>
              <w:t>4.4</w:t>
            </w:r>
          </w:p>
        </w:tc>
        <w:tc>
          <w:tcPr>
            <w:tcW w:w="0" w:type="auto"/>
            <w:tcBorders>
              <w:top w:val="nil"/>
              <w:left w:val="nil"/>
              <w:bottom w:val="single" w:color="auto" w:sz="4" w:space="0"/>
              <w:right w:val="single" w:color="auto" w:sz="4" w:space="0"/>
            </w:tcBorders>
            <w:shd w:val="clear" w:color="auto" w:fill="auto"/>
            <w:vAlign w:val="center"/>
          </w:tcPr>
          <w:p w14:paraId="2D15E871">
            <w:pPr>
              <w:rPr>
                <w:lang w:eastAsia="zh-CN"/>
              </w:rPr>
            </w:pPr>
            <w:r>
              <w:rPr>
                <w:rFonts w:hint="eastAsia"/>
                <w:lang w:eastAsia="zh-CN"/>
              </w:rPr>
              <w:t>记录控制</w:t>
            </w:r>
          </w:p>
        </w:tc>
        <w:tc>
          <w:tcPr>
            <w:tcW w:w="6109" w:type="dxa"/>
            <w:tcBorders>
              <w:top w:val="nil"/>
              <w:left w:val="nil"/>
              <w:bottom w:val="single" w:color="auto" w:sz="4" w:space="0"/>
              <w:right w:val="single" w:color="auto" w:sz="4" w:space="0"/>
            </w:tcBorders>
            <w:shd w:val="clear" w:color="auto" w:fill="auto"/>
            <w:vAlign w:val="center"/>
          </w:tcPr>
          <w:p w14:paraId="0876E666">
            <w:pPr>
              <w:rPr>
                <w:lang w:eastAsia="zh-CN"/>
              </w:rPr>
            </w:pPr>
            <w:r>
              <w:rPr>
                <w:rFonts w:hint="eastAsia"/>
                <w:lang w:eastAsia="zh-CN"/>
              </w:rPr>
              <w:t>园区企业是否建立和保存清晰记录，实施标识、存储、保护等控制。</w:t>
            </w:r>
          </w:p>
        </w:tc>
        <w:tc>
          <w:tcPr>
            <w:tcW w:w="0" w:type="auto"/>
            <w:tcBorders>
              <w:top w:val="nil"/>
              <w:left w:val="nil"/>
              <w:bottom w:val="single" w:color="auto" w:sz="4" w:space="0"/>
              <w:right w:val="single" w:color="auto" w:sz="4" w:space="0"/>
            </w:tcBorders>
            <w:shd w:val="clear" w:color="auto" w:fill="auto"/>
            <w:vAlign w:val="center"/>
          </w:tcPr>
          <w:p w14:paraId="549CE8F5">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17817750">
            <w:pPr>
              <w:rPr>
                <w:lang w:eastAsia="zh-CN"/>
              </w:rPr>
            </w:pPr>
            <w:r>
              <w:rPr>
                <w:rFonts w:hint="eastAsia"/>
                <w:lang w:eastAsia="zh-CN"/>
              </w:rPr>
              <w:t>记录保管检查</w:t>
            </w:r>
          </w:p>
          <w:p w14:paraId="47887B52">
            <w:pPr>
              <w:rPr>
                <w:lang w:eastAsia="zh-CN"/>
              </w:rPr>
            </w:pPr>
            <w:r>
              <w:rPr>
                <w:rFonts w:hint="eastAsia"/>
                <w:lang w:eastAsia="zh-CN"/>
              </w:rPr>
              <w:t>可追溯性评估</w:t>
            </w:r>
          </w:p>
        </w:tc>
        <w:tc>
          <w:tcPr>
            <w:tcW w:w="1749" w:type="dxa"/>
            <w:tcBorders>
              <w:top w:val="nil"/>
              <w:left w:val="nil"/>
              <w:bottom w:val="single" w:color="auto" w:sz="4" w:space="0"/>
              <w:right w:val="single" w:color="auto" w:sz="4" w:space="0"/>
            </w:tcBorders>
            <w:shd w:val="clear" w:color="auto" w:fill="auto"/>
            <w:noWrap/>
            <w:vAlign w:val="center"/>
          </w:tcPr>
          <w:p w14:paraId="7985BD45">
            <w:pPr>
              <w:rPr>
                <w:lang w:eastAsia="zh-CN"/>
              </w:rPr>
            </w:pPr>
            <w:r>
              <w:rPr>
                <w:rFonts w:hint="eastAsia"/>
                <w:lang w:eastAsia="zh-CN"/>
              </w:rPr>
              <w:t>　</w:t>
            </w:r>
          </w:p>
        </w:tc>
      </w:tr>
      <w:tr w14:paraId="739FE58D">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4A9FE30">
            <w:pPr>
              <w:rPr>
                <w:lang w:eastAsia="zh-CN"/>
              </w:rPr>
            </w:pPr>
            <w:r>
              <w:rPr>
                <w:rFonts w:hint="eastAsia"/>
                <w:lang w:eastAsia="zh-CN"/>
              </w:rPr>
              <w:t>4.5</w:t>
            </w:r>
          </w:p>
        </w:tc>
        <w:tc>
          <w:tcPr>
            <w:tcW w:w="0" w:type="auto"/>
            <w:tcBorders>
              <w:top w:val="nil"/>
              <w:left w:val="nil"/>
              <w:bottom w:val="single" w:color="auto" w:sz="4" w:space="0"/>
              <w:right w:val="single" w:color="auto" w:sz="4" w:space="0"/>
            </w:tcBorders>
            <w:shd w:val="clear" w:color="auto" w:fill="auto"/>
            <w:vAlign w:val="center"/>
          </w:tcPr>
          <w:p w14:paraId="33CAAC6B">
            <w:pPr>
              <w:rPr>
                <w:lang w:eastAsia="zh-CN"/>
              </w:rPr>
            </w:pPr>
            <w:r>
              <w:rPr>
                <w:rFonts w:hint="eastAsia"/>
                <w:lang w:eastAsia="zh-CN"/>
              </w:rPr>
              <w:t>应对风险和机遇措施</w:t>
            </w:r>
          </w:p>
        </w:tc>
        <w:tc>
          <w:tcPr>
            <w:tcW w:w="6109" w:type="dxa"/>
            <w:tcBorders>
              <w:top w:val="nil"/>
              <w:left w:val="nil"/>
              <w:bottom w:val="single" w:color="auto" w:sz="4" w:space="0"/>
              <w:right w:val="single" w:color="auto" w:sz="4" w:space="0"/>
            </w:tcBorders>
            <w:shd w:val="clear" w:color="auto" w:fill="auto"/>
            <w:vAlign w:val="center"/>
          </w:tcPr>
          <w:p w14:paraId="0F3F69BB">
            <w:pPr>
              <w:rPr>
                <w:lang w:eastAsia="zh-CN"/>
              </w:rPr>
            </w:pPr>
            <w:r>
              <w:rPr>
                <w:rFonts w:hint="eastAsia"/>
                <w:lang w:eastAsia="zh-CN"/>
              </w:rPr>
              <w:t>园区企业是否制定应对风险和机遇措施，以确保管理体系实现预期结果。</w:t>
            </w:r>
          </w:p>
        </w:tc>
        <w:tc>
          <w:tcPr>
            <w:tcW w:w="0" w:type="auto"/>
            <w:tcBorders>
              <w:top w:val="nil"/>
              <w:left w:val="nil"/>
              <w:bottom w:val="single" w:color="auto" w:sz="4" w:space="0"/>
              <w:right w:val="single" w:color="auto" w:sz="4" w:space="0"/>
            </w:tcBorders>
            <w:shd w:val="clear" w:color="auto" w:fill="auto"/>
            <w:vAlign w:val="center"/>
          </w:tcPr>
          <w:p w14:paraId="29DB1E70">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08754E15">
            <w:pPr>
              <w:rPr>
                <w:lang w:eastAsia="zh-CN"/>
              </w:rPr>
            </w:pPr>
            <w:r>
              <w:rPr>
                <w:rFonts w:hint="eastAsia"/>
                <w:lang w:eastAsia="zh-CN"/>
              </w:rPr>
              <w:t>措施文件检查</w:t>
            </w:r>
          </w:p>
          <w:p w14:paraId="762D0573">
            <w:pPr>
              <w:rPr>
                <w:lang w:eastAsia="zh-CN"/>
              </w:rPr>
            </w:pPr>
            <w:r>
              <w:rPr>
                <w:rFonts w:hint="eastAsia"/>
                <w:lang w:eastAsia="zh-CN"/>
              </w:rPr>
              <w:t>内容评估</w:t>
            </w:r>
          </w:p>
        </w:tc>
        <w:tc>
          <w:tcPr>
            <w:tcW w:w="1749" w:type="dxa"/>
            <w:tcBorders>
              <w:top w:val="nil"/>
              <w:left w:val="nil"/>
              <w:bottom w:val="single" w:color="auto" w:sz="4" w:space="0"/>
              <w:right w:val="single" w:color="auto" w:sz="4" w:space="0"/>
            </w:tcBorders>
            <w:shd w:val="clear" w:color="auto" w:fill="auto"/>
            <w:noWrap/>
            <w:vAlign w:val="center"/>
          </w:tcPr>
          <w:p w14:paraId="325DF1BF">
            <w:pPr>
              <w:rPr>
                <w:lang w:eastAsia="zh-CN"/>
              </w:rPr>
            </w:pPr>
          </w:p>
        </w:tc>
      </w:tr>
      <w:tr w14:paraId="6385A8FD">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BEB0483">
            <w:pPr>
              <w:rPr>
                <w:lang w:eastAsia="zh-CN"/>
              </w:rPr>
            </w:pPr>
            <w:r>
              <w:rPr>
                <w:rFonts w:hint="eastAsia"/>
                <w:lang w:eastAsia="zh-CN"/>
              </w:rPr>
              <w:t>4.6</w:t>
            </w:r>
          </w:p>
        </w:tc>
        <w:tc>
          <w:tcPr>
            <w:tcW w:w="0" w:type="auto"/>
            <w:tcBorders>
              <w:top w:val="nil"/>
              <w:left w:val="nil"/>
              <w:bottom w:val="single" w:color="auto" w:sz="4" w:space="0"/>
              <w:right w:val="single" w:color="auto" w:sz="4" w:space="0"/>
            </w:tcBorders>
            <w:shd w:val="clear" w:color="auto" w:fill="auto"/>
            <w:vAlign w:val="center"/>
          </w:tcPr>
          <w:p w14:paraId="2D69EC98">
            <w:pPr>
              <w:rPr>
                <w:lang w:eastAsia="zh-CN"/>
              </w:rPr>
            </w:pPr>
            <w:r>
              <w:rPr>
                <w:rFonts w:hint="eastAsia"/>
                <w:lang w:eastAsia="zh-CN"/>
              </w:rPr>
              <w:t>内部审核</w:t>
            </w:r>
          </w:p>
        </w:tc>
        <w:tc>
          <w:tcPr>
            <w:tcW w:w="6109" w:type="dxa"/>
            <w:tcBorders>
              <w:top w:val="nil"/>
              <w:left w:val="nil"/>
              <w:bottom w:val="single" w:color="auto" w:sz="4" w:space="0"/>
              <w:right w:val="single" w:color="auto" w:sz="4" w:space="0"/>
            </w:tcBorders>
            <w:shd w:val="clear" w:color="auto" w:fill="auto"/>
            <w:vAlign w:val="center"/>
          </w:tcPr>
          <w:p w14:paraId="44D2A3AC">
            <w:pPr>
              <w:rPr>
                <w:lang w:eastAsia="zh-CN"/>
              </w:rPr>
            </w:pPr>
            <w:r>
              <w:rPr>
                <w:rFonts w:hint="eastAsia"/>
                <w:lang w:eastAsia="zh-CN"/>
              </w:rPr>
              <w:t>园区企业是否制定内审计划，定期开展审核并由受过培训和具备资格的人员执行。</w:t>
            </w:r>
          </w:p>
        </w:tc>
        <w:tc>
          <w:tcPr>
            <w:tcW w:w="0" w:type="auto"/>
            <w:tcBorders>
              <w:top w:val="nil"/>
              <w:left w:val="nil"/>
              <w:bottom w:val="single" w:color="auto" w:sz="4" w:space="0"/>
              <w:right w:val="single" w:color="auto" w:sz="4" w:space="0"/>
            </w:tcBorders>
            <w:shd w:val="clear" w:color="auto" w:fill="auto"/>
            <w:vAlign w:val="center"/>
          </w:tcPr>
          <w:p w14:paraId="1959D651">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634A2149">
            <w:pPr>
              <w:rPr>
                <w:lang w:eastAsia="zh-CN"/>
              </w:rPr>
            </w:pPr>
            <w:r>
              <w:rPr>
                <w:rFonts w:hint="eastAsia"/>
                <w:lang w:eastAsia="zh-CN"/>
              </w:rPr>
              <w:t>内审计划检查</w:t>
            </w:r>
          </w:p>
          <w:p w14:paraId="4897B806">
            <w:pPr>
              <w:rPr>
                <w:lang w:eastAsia="zh-CN"/>
              </w:rPr>
            </w:pPr>
            <w:r>
              <w:rPr>
                <w:rFonts w:hint="eastAsia"/>
                <w:lang w:eastAsia="zh-CN"/>
              </w:rPr>
              <w:t>记录审查</w:t>
            </w:r>
          </w:p>
        </w:tc>
        <w:tc>
          <w:tcPr>
            <w:tcW w:w="1749" w:type="dxa"/>
            <w:tcBorders>
              <w:top w:val="nil"/>
              <w:left w:val="nil"/>
              <w:bottom w:val="single" w:color="auto" w:sz="4" w:space="0"/>
              <w:right w:val="single" w:color="auto" w:sz="4" w:space="0"/>
            </w:tcBorders>
            <w:shd w:val="clear" w:color="auto" w:fill="auto"/>
            <w:noWrap/>
            <w:vAlign w:val="center"/>
          </w:tcPr>
          <w:p w14:paraId="117E3150">
            <w:pPr>
              <w:rPr>
                <w:lang w:eastAsia="zh-CN"/>
              </w:rPr>
            </w:pPr>
            <w:r>
              <w:rPr>
                <w:rFonts w:hint="eastAsia"/>
                <w:lang w:eastAsia="zh-CN"/>
              </w:rPr>
              <w:t>　</w:t>
            </w:r>
          </w:p>
        </w:tc>
      </w:tr>
      <w:tr w14:paraId="0CA566DF">
        <w:tblPrEx>
          <w:tblCellMar>
            <w:top w:w="0" w:type="dxa"/>
            <w:left w:w="108" w:type="dxa"/>
            <w:bottom w:w="0" w:type="dxa"/>
            <w:right w:w="108" w:type="dxa"/>
          </w:tblCellMar>
        </w:tblPrEx>
        <w:trPr>
          <w:trHeight w:val="108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34359FB">
            <w:pPr>
              <w:rPr>
                <w:lang w:eastAsia="zh-CN"/>
              </w:rPr>
            </w:pPr>
            <w:r>
              <w:rPr>
                <w:rFonts w:hint="eastAsia"/>
                <w:lang w:eastAsia="zh-CN"/>
              </w:rPr>
              <w:t>4.7</w:t>
            </w:r>
          </w:p>
        </w:tc>
        <w:tc>
          <w:tcPr>
            <w:tcW w:w="0" w:type="auto"/>
            <w:tcBorders>
              <w:top w:val="nil"/>
              <w:left w:val="nil"/>
              <w:bottom w:val="single" w:color="auto" w:sz="4" w:space="0"/>
              <w:right w:val="single" w:color="auto" w:sz="4" w:space="0"/>
            </w:tcBorders>
            <w:shd w:val="clear" w:color="auto" w:fill="auto"/>
            <w:vAlign w:val="center"/>
          </w:tcPr>
          <w:p w14:paraId="7FA500C6">
            <w:pPr>
              <w:rPr>
                <w:lang w:eastAsia="zh-CN"/>
              </w:rPr>
            </w:pPr>
            <w:r>
              <w:rPr>
                <w:rFonts w:hint="eastAsia"/>
                <w:lang w:eastAsia="zh-CN"/>
              </w:rPr>
              <w:t>管理评审</w:t>
            </w:r>
          </w:p>
        </w:tc>
        <w:tc>
          <w:tcPr>
            <w:tcW w:w="6109" w:type="dxa"/>
            <w:tcBorders>
              <w:top w:val="nil"/>
              <w:left w:val="nil"/>
              <w:bottom w:val="single" w:color="auto" w:sz="4" w:space="0"/>
              <w:right w:val="single" w:color="auto" w:sz="4" w:space="0"/>
            </w:tcBorders>
            <w:shd w:val="clear" w:color="auto" w:fill="auto"/>
            <w:vAlign w:val="center"/>
          </w:tcPr>
          <w:p w14:paraId="2C4B5C78">
            <w:pPr>
              <w:rPr>
                <w:lang w:eastAsia="zh-CN"/>
              </w:rPr>
            </w:pPr>
            <w:r>
              <w:rPr>
                <w:rFonts w:hint="eastAsia"/>
                <w:lang w:eastAsia="zh-CN"/>
              </w:rPr>
              <w:t>主管部门是否定期组织专家进行管理评审并提出改进要求。</w:t>
            </w:r>
          </w:p>
        </w:tc>
        <w:tc>
          <w:tcPr>
            <w:tcW w:w="0" w:type="auto"/>
            <w:tcBorders>
              <w:top w:val="nil"/>
              <w:left w:val="nil"/>
              <w:bottom w:val="single" w:color="auto" w:sz="4" w:space="0"/>
              <w:right w:val="single" w:color="auto" w:sz="4" w:space="0"/>
            </w:tcBorders>
            <w:shd w:val="clear" w:color="auto" w:fill="auto"/>
            <w:vAlign w:val="center"/>
          </w:tcPr>
          <w:p w14:paraId="2D6C1A7F">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auto"/>
            <w:vAlign w:val="center"/>
          </w:tcPr>
          <w:p w14:paraId="01B45EC7">
            <w:pPr>
              <w:rPr>
                <w:lang w:eastAsia="zh-CN"/>
              </w:rPr>
            </w:pPr>
            <w:r>
              <w:rPr>
                <w:rFonts w:hint="eastAsia"/>
                <w:lang w:eastAsia="zh-CN"/>
              </w:rPr>
              <w:t>评审记录检查</w:t>
            </w:r>
          </w:p>
          <w:p w14:paraId="68A0C29A">
            <w:pPr>
              <w:rPr>
                <w:lang w:eastAsia="zh-CN"/>
              </w:rPr>
            </w:pPr>
            <w:r>
              <w:rPr>
                <w:rFonts w:hint="eastAsia"/>
                <w:lang w:eastAsia="zh-CN"/>
              </w:rPr>
              <w:t>改进措施追踪</w:t>
            </w:r>
          </w:p>
        </w:tc>
        <w:tc>
          <w:tcPr>
            <w:tcW w:w="1749" w:type="dxa"/>
            <w:tcBorders>
              <w:top w:val="nil"/>
              <w:left w:val="nil"/>
              <w:bottom w:val="single" w:color="auto" w:sz="4" w:space="0"/>
              <w:right w:val="single" w:color="auto" w:sz="4" w:space="0"/>
            </w:tcBorders>
            <w:shd w:val="clear" w:color="auto" w:fill="auto"/>
            <w:noWrap/>
            <w:vAlign w:val="center"/>
          </w:tcPr>
          <w:p w14:paraId="71ABFD54">
            <w:pPr>
              <w:rPr>
                <w:lang w:eastAsia="zh-CN"/>
              </w:rPr>
            </w:pPr>
            <w:r>
              <w:rPr>
                <w:rFonts w:hint="eastAsia"/>
                <w:lang w:eastAsia="zh-CN"/>
              </w:rPr>
              <w:t>　</w:t>
            </w:r>
          </w:p>
        </w:tc>
      </w:tr>
      <w:tr w14:paraId="26E9F534">
        <w:tblPrEx>
          <w:tblCellMar>
            <w:top w:w="0" w:type="dxa"/>
            <w:left w:w="108" w:type="dxa"/>
            <w:bottom w:w="0" w:type="dxa"/>
            <w:right w:w="108" w:type="dxa"/>
          </w:tblCellMar>
        </w:tblPrEx>
        <w:trPr>
          <w:trHeight w:val="1080" w:hRule="atLeast"/>
        </w:trPr>
        <w:tc>
          <w:tcPr>
            <w:tcW w:w="10179" w:type="dxa"/>
            <w:gridSpan w:val="3"/>
            <w:tcBorders>
              <w:top w:val="nil"/>
              <w:left w:val="single" w:color="auto" w:sz="4" w:space="0"/>
              <w:bottom w:val="single" w:color="auto" w:sz="4" w:space="0"/>
              <w:right w:val="single" w:color="auto" w:sz="4" w:space="0"/>
            </w:tcBorders>
            <w:shd w:val="clear" w:color="auto" w:fill="F1F1F1" w:themeFill="background1" w:themeFillShade="F2"/>
            <w:vAlign w:val="center"/>
          </w:tcPr>
          <w:p w14:paraId="6D9B72A2">
            <w:pPr>
              <w:jc w:val="center"/>
              <w:rPr>
                <w:b/>
                <w:bCs/>
                <w:lang w:eastAsia="zh-CN"/>
              </w:rPr>
            </w:pPr>
            <w:r>
              <w:rPr>
                <w:rFonts w:hint="eastAsia"/>
                <w:b/>
                <w:bCs/>
                <w:lang w:eastAsia="zh-CN"/>
              </w:rPr>
              <w:t>总体评价</w:t>
            </w:r>
          </w:p>
        </w:tc>
        <w:tc>
          <w:tcPr>
            <w:tcW w:w="0" w:type="auto"/>
            <w:tcBorders>
              <w:top w:val="nil"/>
              <w:left w:val="nil"/>
              <w:bottom w:val="single" w:color="auto" w:sz="4" w:space="0"/>
              <w:right w:val="single" w:color="auto" w:sz="4" w:space="0"/>
            </w:tcBorders>
            <w:shd w:val="clear" w:color="auto" w:fill="F1F1F1" w:themeFill="background1" w:themeFillShade="F2"/>
            <w:vAlign w:val="center"/>
          </w:tcPr>
          <w:p w14:paraId="22F5DF9B">
            <w:pPr>
              <w:rPr>
                <w:lang w:eastAsia="zh-CN"/>
              </w:rPr>
            </w:pPr>
            <w:r>
              <w:rPr>
                <w:rFonts w:hint="eastAsia"/>
                <w:lang w:eastAsia="zh-CN"/>
              </w:rPr>
              <w:t>□符合</w:t>
            </w:r>
            <w:r>
              <w:rPr>
                <w:rFonts w:hint="eastAsia"/>
                <w:lang w:eastAsia="zh-CN"/>
              </w:rPr>
              <w:br w:type="textWrapping"/>
            </w:r>
            <w:r>
              <w:rPr>
                <w:rFonts w:hint="eastAsia"/>
                <w:lang w:eastAsia="zh-CN"/>
              </w:rPr>
              <w:t>□基本符合</w:t>
            </w:r>
            <w:r>
              <w:rPr>
                <w:rFonts w:hint="eastAsia"/>
                <w:lang w:eastAsia="zh-CN"/>
              </w:rPr>
              <w:br w:type="textWrapping"/>
            </w:r>
            <w:r>
              <w:rPr>
                <w:rFonts w:hint="eastAsia"/>
                <w:lang w:eastAsia="zh-CN"/>
              </w:rPr>
              <w:t>□不符合</w:t>
            </w:r>
          </w:p>
        </w:tc>
        <w:tc>
          <w:tcPr>
            <w:tcW w:w="0" w:type="auto"/>
            <w:tcBorders>
              <w:top w:val="nil"/>
              <w:left w:val="nil"/>
              <w:bottom w:val="single" w:color="auto" w:sz="4" w:space="0"/>
              <w:right w:val="single" w:color="auto" w:sz="4" w:space="0"/>
            </w:tcBorders>
            <w:shd w:val="clear" w:color="auto" w:fill="F1F1F1" w:themeFill="background1" w:themeFillShade="F2"/>
            <w:vAlign w:val="center"/>
          </w:tcPr>
          <w:p w14:paraId="3EADC4B8">
            <w:pPr>
              <w:rPr>
                <w:lang w:eastAsia="zh-CN"/>
              </w:rPr>
            </w:pPr>
          </w:p>
        </w:tc>
        <w:tc>
          <w:tcPr>
            <w:tcW w:w="1749" w:type="dxa"/>
            <w:tcBorders>
              <w:top w:val="nil"/>
              <w:left w:val="nil"/>
              <w:bottom w:val="single" w:color="auto" w:sz="4" w:space="0"/>
              <w:right w:val="single" w:color="auto" w:sz="4" w:space="0"/>
            </w:tcBorders>
            <w:shd w:val="clear" w:color="auto" w:fill="F1F1F1" w:themeFill="background1" w:themeFillShade="F2"/>
            <w:noWrap/>
            <w:vAlign w:val="center"/>
          </w:tcPr>
          <w:p w14:paraId="0D2B01CF">
            <w:pPr>
              <w:rPr>
                <w:lang w:eastAsia="zh-CN"/>
              </w:rPr>
            </w:pPr>
          </w:p>
        </w:tc>
      </w:tr>
      <w:tr w14:paraId="24BDC39C">
        <w:tblPrEx>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14:paraId="2DCB623D">
            <w:pPr>
              <w:rPr>
                <w:lang w:eastAsia="zh-CN"/>
              </w:rPr>
            </w:pPr>
          </w:p>
        </w:tc>
        <w:tc>
          <w:tcPr>
            <w:tcW w:w="0" w:type="auto"/>
            <w:tcBorders>
              <w:top w:val="nil"/>
              <w:left w:val="nil"/>
              <w:bottom w:val="nil"/>
              <w:right w:val="nil"/>
            </w:tcBorders>
            <w:shd w:val="clear" w:color="auto" w:fill="auto"/>
            <w:noWrap/>
            <w:vAlign w:val="center"/>
          </w:tcPr>
          <w:p w14:paraId="4F755882">
            <w:pPr>
              <w:rPr>
                <w:lang w:eastAsia="zh-CN"/>
              </w:rPr>
            </w:pPr>
          </w:p>
        </w:tc>
        <w:tc>
          <w:tcPr>
            <w:tcW w:w="6109" w:type="dxa"/>
            <w:tcBorders>
              <w:top w:val="nil"/>
              <w:left w:val="nil"/>
              <w:bottom w:val="nil"/>
              <w:right w:val="nil"/>
            </w:tcBorders>
            <w:shd w:val="clear" w:color="auto" w:fill="auto"/>
            <w:noWrap/>
            <w:vAlign w:val="center"/>
          </w:tcPr>
          <w:p w14:paraId="274DBB5F">
            <w:pPr>
              <w:rPr>
                <w:lang w:eastAsia="zh-CN"/>
              </w:rPr>
            </w:pPr>
          </w:p>
        </w:tc>
        <w:tc>
          <w:tcPr>
            <w:tcW w:w="0" w:type="auto"/>
            <w:tcBorders>
              <w:top w:val="nil"/>
              <w:left w:val="nil"/>
              <w:bottom w:val="nil"/>
              <w:right w:val="nil"/>
            </w:tcBorders>
            <w:shd w:val="clear" w:color="auto" w:fill="auto"/>
            <w:noWrap/>
            <w:vAlign w:val="center"/>
          </w:tcPr>
          <w:p w14:paraId="74B7BBFF">
            <w:pPr>
              <w:rPr>
                <w:lang w:eastAsia="zh-CN"/>
              </w:rPr>
            </w:pPr>
          </w:p>
        </w:tc>
        <w:tc>
          <w:tcPr>
            <w:tcW w:w="0" w:type="auto"/>
            <w:tcBorders>
              <w:top w:val="nil"/>
              <w:left w:val="nil"/>
              <w:bottom w:val="nil"/>
              <w:right w:val="nil"/>
            </w:tcBorders>
            <w:shd w:val="clear" w:color="auto" w:fill="auto"/>
            <w:noWrap/>
            <w:vAlign w:val="center"/>
          </w:tcPr>
          <w:p w14:paraId="774B326F">
            <w:pPr>
              <w:rPr>
                <w:lang w:eastAsia="zh-CN"/>
              </w:rPr>
            </w:pPr>
          </w:p>
        </w:tc>
        <w:tc>
          <w:tcPr>
            <w:tcW w:w="1749" w:type="dxa"/>
            <w:tcBorders>
              <w:top w:val="nil"/>
              <w:left w:val="nil"/>
              <w:bottom w:val="nil"/>
              <w:right w:val="nil"/>
            </w:tcBorders>
            <w:shd w:val="clear" w:color="auto" w:fill="auto"/>
            <w:noWrap/>
            <w:vAlign w:val="center"/>
          </w:tcPr>
          <w:p w14:paraId="4E769D08">
            <w:pPr>
              <w:rPr>
                <w:lang w:eastAsia="zh-CN"/>
              </w:rPr>
            </w:pPr>
          </w:p>
        </w:tc>
      </w:tr>
      <w:tr w14:paraId="527EAD9C">
        <w:tblPrEx>
          <w:tblCellMar>
            <w:top w:w="0" w:type="dxa"/>
            <w:left w:w="108" w:type="dxa"/>
            <w:bottom w:w="0" w:type="dxa"/>
            <w:right w:w="108" w:type="dxa"/>
          </w:tblCellMar>
        </w:tblPrEx>
        <w:trPr>
          <w:trHeight w:val="270" w:hRule="atLeast"/>
        </w:trPr>
        <w:tc>
          <w:tcPr>
            <w:tcW w:w="12921" w:type="dxa"/>
            <w:gridSpan w:val="5"/>
            <w:tcBorders>
              <w:top w:val="nil"/>
              <w:left w:val="nil"/>
              <w:bottom w:val="nil"/>
              <w:right w:val="nil"/>
            </w:tcBorders>
            <w:shd w:val="clear" w:color="auto" w:fill="auto"/>
            <w:noWrap/>
            <w:vAlign w:val="center"/>
          </w:tcPr>
          <w:p w14:paraId="39C33FC5">
            <w:pPr>
              <w:rPr>
                <w:lang w:eastAsia="zh-CN"/>
              </w:rPr>
            </w:pPr>
            <w:r>
              <w:rPr>
                <w:rFonts w:hint="eastAsia"/>
                <w:lang w:eastAsia="zh-CN"/>
              </w:rPr>
              <w:t>总体评价结论说明：符合——评价指标结论全部为符合；</w:t>
            </w:r>
          </w:p>
          <w:p w14:paraId="1DCADAFD">
            <w:pPr>
              <w:ind w:firstLine="1890" w:firstLineChars="900"/>
              <w:rPr>
                <w:lang w:eastAsia="zh-CN"/>
              </w:rPr>
            </w:pPr>
            <w:r>
              <w:rPr>
                <w:rFonts w:hint="eastAsia"/>
                <w:lang w:eastAsia="zh-CN"/>
              </w:rPr>
              <w:t>基本符合——1至5个非“</w:t>
            </w:r>
            <w:r>
              <w:rPr>
                <w:rFonts w:hint="eastAsia" w:asciiTheme="minorEastAsia" w:hAnsiTheme="minorEastAsia"/>
                <w:lang w:eastAsia="zh-CN"/>
              </w:rPr>
              <w:t>★</w:t>
            </w:r>
            <w:r>
              <w:rPr>
                <w:rFonts w:hint="eastAsia"/>
                <w:lang w:eastAsia="zh-CN"/>
              </w:rPr>
              <w:t>”评价指标结论为不符合；</w:t>
            </w:r>
          </w:p>
          <w:p w14:paraId="2CDD3C6D">
            <w:pPr>
              <w:ind w:firstLine="1890" w:firstLineChars="900"/>
              <w:rPr>
                <w:lang w:eastAsia="zh-CN"/>
              </w:rPr>
            </w:pPr>
            <w:r>
              <w:rPr>
                <w:rFonts w:hint="eastAsia"/>
                <w:lang w:eastAsia="zh-CN"/>
              </w:rPr>
              <w:t>不符合——5个以上非“</w:t>
            </w:r>
            <w:r>
              <w:rPr>
                <w:rFonts w:hint="eastAsia" w:asciiTheme="minorEastAsia" w:hAnsiTheme="minorEastAsia"/>
                <w:lang w:eastAsia="zh-CN"/>
              </w:rPr>
              <w:t>★</w:t>
            </w:r>
            <w:r>
              <w:rPr>
                <w:rFonts w:hint="eastAsia"/>
                <w:lang w:eastAsia="zh-CN"/>
              </w:rPr>
              <w:t>”评价指标结论为不符合或1个及以上“</w:t>
            </w:r>
            <w:r>
              <w:rPr>
                <w:rFonts w:hint="eastAsia" w:asciiTheme="minorEastAsia" w:hAnsiTheme="minorEastAsia"/>
                <w:lang w:eastAsia="zh-CN"/>
              </w:rPr>
              <w:t>★”</w:t>
            </w:r>
            <w:r>
              <w:rPr>
                <w:rFonts w:hint="eastAsia"/>
                <w:lang w:eastAsia="zh-CN"/>
              </w:rPr>
              <w:t>评价指标结论为不符合。</w:t>
            </w:r>
          </w:p>
        </w:tc>
        <w:tc>
          <w:tcPr>
            <w:tcW w:w="1749" w:type="dxa"/>
            <w:tcBorders>
              <w:top w:val="nil"/>
              <w:left w:val="nil"/>
              <w:bottom w:val="nil"/>
              <w:right w:val="nil"/>
            </w:tcBorders>
            <w:shd w:val="clear" w:color="auto" w:fill="auto"/>
            <w:noWrap/>
            <w:vAlign w:val="center"/>
          </w:tcPr>
          <w:p w14:paraId="17708692">
            <w:pPr>
              <w:rPr>
                <w:lang w:eastAsia="zh-CN"/>
              </w:rPr>
            </w:pPr>
          </w:p>
        </w:tc>
      </w:tr>
      <w:tr w14:paraId="7359E944">
        <w:tblPrEx>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14:paraId="60050C4A">
            <w:pPr>
              <w:rPr>
                <w:lang w:eastAsia="zh-CN"/>
              </w:rPr>
            </w:pPr>
          </w:p>
        </w:tc>
        <w:tc>
          <w:tcPr>
            <w:tcW w:w="0" w:type="auto"/>
            <w:tcBorders>
              <w:top w:val="nil"/>
              <w:left w:val="nil"/>
              <w:bottom w:val="nil"/>
              <w:right w:val="nil"/>
            </w:tcBorders>
            <w:shd w:val="clear" w:color="auto" w:fill="auto"/>
            <w:noWrap/>
            <w:vAlign w:val="center"/>
          </w:tcPr>
          <w:p w14:paraId="0D8D5D8A">
            <w:pPr>
              <w:rPr>
                <w:lang w:eastAsia="zh-CN"/>
              </w:rPr>
            </w:pPr>
          </w:p>
        </w:tc>
        <w:tc>
          <w:tcPr>
            <w:tcW w:w="6109" w:type="dxa"/>
            <w:tcBorders>
              <w:top w:val="nil"/>
              <w:left w:val="nil"/>
              <w:bottom w:val="nil"/>
              <w:right w:val="nil"/>
            </w:tcBorders>
            <w:shd w:val="clear" w:color="auto" w:fill="auto"/>
            <w:noWrap/>
            <w:vAlign w:val="center"/>
          </w:tcPr>
          <w:p w14:paraId="1333CAC7">
            <w:pPr>
              <w:rPr>
                <w:lang w:eastAsia="zh-CN"/>
              </w:rPr>
            </w:pPr>
          </w:p>
        </w:tc>
        <w:tc>
          <w:tcPr>
            <w:tcW w:w="0" w:type="auto"/>
            <w:tcBorders>
              <w:top w:val="nil"/>
              <w:left w:val="nil"/>
              <w:bottom w:val="nil"/>
              <w:right w:val="nil"/>
            </w:tcBorders>
            <w:shd w:val="clear" w:color="auto" w:fill="auto"/>
            <w:noWrap/>
            <w:vAlign w:val="center"/>
          </w:tcPr>
          <w:p w14:paraId="394E31F3">
            <w:pPr>
              <w:rPr>
                <w:lang w:eastAsia="zh-CN"/>
              </w:rPr>
            </w:pPr>
          </w:p>
        </w:tc>
        <w:tc>
          <w:tcPr>
            <w:tcW w:w="0" w:type="auto"/>
            <w:tcBorders>
              <w:top w:val="nil"/>
              <w:left w:val="nil"/>
              <w:bottom w:val="nil"/>
              <w:right w:val="nil"/>
            </w:tcBorders>
            <w:shd w:val="clear" w:color="auto" w:fill="auto"/>
            <w:noWrap/>
            <w:vAlign w:val="center"/>
          </w:tcPr>
          <w:p w14:paraId="5AA3197A">
            <w:pPr>
              <w:rPr>
                <w:lang w:eastAsia="zh-CN"/>
              </w:rPr>
            </w:pPr>
          </w:p>
        </w:tc>
        <w:tc>
          <w:tcPr>
            <w:tcW w:w="1749" w:type="dxa"/>
            <w:tcBorders>
              <w:top w:val="nil"/>
              <w:left w:val="nil"/>
              <w:bottom w:val="nil"/>
              <w:right w:val="nil"/>
            </w:tcBorders>
            <w:shd w:val="clear" w:color="auto" w:fill="auto"/>
            <w:noWrap/>
            <w:vAlign w:val="center"/>
          </w:tcPr>
          <w:p w14:paraId="081D37FB">
            <w:pPr>
              <w:rPr>
                <w:lang w:eastAsia="zh-CN"/>
              </w:rPr>
            </w:pPr>
          </w:p>
        </w:tc>
      </w:tr>
      <w:tr w14:paraId="42E21AE2">
        <w:tblPrEx>
          <w:tblCellMar>
            <w:top w:w="0" w:type="dxa"/>
            <w:left w:w="108" w:type="dxa"/>
            <w:bottom w:w="0" w:type="dxa"/>
            <w:right w:w="108" w:type="dxa"/>
          </w:tblCellMar>
        </w:tblPrEx>
        <w:trPr>
          <w:trHeight w:val="270" w:hRule="atLeast"/>
        </w:trPr>
        <w:tc>
          <w:tcPr>
            <w:tcW w:w="14670" w:type="dxa"/>
            <w:gridSpan w:val="6"/>
            <w:tcBorders>
              <w:top w:val="nil"/>
              <w:left w:val="nil"/>
              <w:bottom w:val="nil"/>
              <w:right w:val="nil"/>
            </w:tcBorders>
            <w:shd w:val="clear" w:color="auto" w:fill="auto"/>
            <w:noWrap/>
            <w:vAlign w:val="center"/>
          </w:tcPr>
          <w:p w14:paraId="4939C70D">
            <w:pPr>
              <w:rPr>
                <w:lang w:eastAsia="zh-CN"/>
              </w:rPr>
            </w:pPr>
            <w:r>
              <w:rPr>
                <w:rFonts w:hint="eastAsia"/>
                <w:lang w:eastAsia="zh-CN"/>
              </w:rPr>
              <w:t>评价人：________________ 审核人：________________ 日期：____年____月____日</w:t>
            </w:r>
          </w:p>
        </w:tc>
      </w:tr>
      <w:bookmarkEnd w:id="72"/>
    </w:tbl>
    <w:p w14:paraId="7AC50DD9">
      <w:pPr>
        <w:rPr>
          <w:lang w:eastAsia="zh-CN"/>
        </w:rPr>
      </w:pPr>
    </w:p>
    <w:p w14:paraId="57EC3370">
      <w:pPr>
        <w:rPr>
          <w:lang w:eastAsia="zh-CN"/>
        </w:rPr>
      </w:pPr>
    </w:p>
    <w:p w14:paraId="11E7E57F">
      <w:pPr>
        <w:spacing w:line="360" w:lineRule="auto"/>
        <w:ind w:firstLine="643" w:firstLineChars="200"/>
        <w:rPr>
          <w:rFonts w:ascii="黑体" w:hAnsi="黑体" w:eastAsia="黑体"/>
          <w:b/>
          <w:bCs/>
          <w:sz w:val="32"/>
          <w:szCs w:val="32"/>
          <w:lang w:eastAsia="zh-CN"/>
        </w:rPr>
      </w:pPr>
    </w:p>
    <w:sectPr>
      <w:pgSz w:w="16839" w:h="11906" w:orient="landscape"/>
      <w:pgMar w:top="1440" w:right="1080" w:bottom="1440" w:left="1080" w:header="426" w:footer="888"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5836513"/>
      <w:docPartObj>
        <w:docPartGallery w:val="autotext"/>
      </w:docPartObj>
    </w:sdtPr>
    <w:sdtContent>
      <w:p w14:paraId="2B63F986">
        <w:pPr>
          <w:pStyle w:val="9"/>
          <w:jc w:val="right"/>
        </w:pPr>
        <w:r>
          <w:fldChar w:fldCharType="begin"/>
        </w:r>
        <w:r>
          <w:instrText xml:space="preserve">PAGE   \* MERGEFORMAT</w:instrText>
        </w:r>
        <w:r>
          <w:fldChar w:fldCharType="separate"/>
        </w:r>
        <w:r>
          <w:rPr>
            <w:lang w:val="zh-CN" w:eastAsia="zh-CN"/>
          </w:rPr>
          <w:t>3</w:t>
        </w:r>
        <w:r>
          <w:fldChar w:fldCharType="end"/>
        </w:r>
      </w:p>
    </w:sdtContent>
  </w:sdt>
  <w:p w14:paraId="7EE8CFF0">
    <w:pPr>
      <w:pStyle w:val="9"/>
      <w:rPr>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B3AC0">
    <w:pPr>
      <w:ind w:left="4643"/>
      <w:rPr>
        <w:rFonts w:ascii="宋体" w:hAnsi="宋体" w:eastAsia="宋体" w:cs="宋体"/>
        <w:sz w:val="20"/>
        <w:szCs w:val="20"/>
      </w:rPr>
    </w:pPr>
    <w:r>
      <w:rPr>
        <w:rFonts w:ascii="宋体" w:hAnsi="宋体" w:eastAsia="宋体" w:cs="宋体"/>
        <w:sz w:val="20"/>
        <w:szCs w:val="20"/>
      </w:rPr>
      <w:t>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4964485"/>
      <w:docPartObj>
        <w:docPartGallery w:val="autotext"/>
      </w:docPartObj>
    </w:sdtPr>
    <w:sdtContent>
      <w:p w14:paraId="0C403174">
        <w:pPr>
          <w:pStyle w:val="9"/>
          <w:jc w:val="right"/>
        </w:pPr>
        <w:r>
          <w:fldChar w:fldCharType="begin"/>
        </w:r>
        <w:r>
          <w:instrText xml:space="preserve">PAGE   \* MERGEFORMAT</w:instrText>
        </w:r>
        <w:r>
          <w:fldChar w:fldCharType="separate"/>
        </w:r>
        <w:r>
          <w:rPr>
            <w:lang w:val="zh-CN" w:eastAsia="zh-CN"/>
          </w:rPr>
          <w:t>11</w:t>
        </w:r>
        <w:r>
          <w:fldChar w:fldCharType="end"/>
        </w:r>
      </w:p>
    </w:sdtContent>
  </w:sdt>
  <w:p w14:paraId="2B8E1E39">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E974">
    <w:pPr>
      <w:spacing w:before="17" w:line="229" w:lineRule="auto"/>
      <w:ind w:left="3750"/>
      <w:rPr>
        <w:rFonts w:ascii="黑体" w:hAnsi="黑体" w:eastAsia="黑体" w:cs="黑体"/>
        <w:sz w:val="20"/>
        <w:szCs w:val="20"/>
      </w:rPr>
    </w:pPr>
    <w:r>
      <w:rPr>
        <w:rFonts w:hint="eastAsia" w:eastAsia="Arial"/>
        <w:lang w:eastAsia="zh-CN"/>
      </w:rPr>
      <mc:AlternateContent>
        <mc:Choice Requires="wps">
          <w:drawing>
            <wp:anchor distT="0" distB="0" distL="114300" distR="114300" simplePos="0" relativeHeight="251659264" behindDoc="0" locked="0" layoutInCell="0" allowOverlap="1">
              <wp:simplePos x="0" y="0"/>
              <wp:positionH relativeFrom="page">
                <wp:posOffset>899795</wp:posOffset>
              </wp:positionH>
              <wp:positionV relativeFrom="page">
                <wp:posOffset>1000760</wp:posOffset>
              </wp:positionV>
              <wp:extent cx="5940425" cy="6350"/>
              <wp:effectExtent l="4445" t="635" r="0" b="2540"/>
              <wp:wrapNone/>
              <wp:docPr id="2056914306" name="Freeform 15"/>
              <wp:cNvGraphicFramePr/>
              <a:graphic xmlns:a="http://schemas.openxmlformats.org/drawingml/2006/main">
                <a:graphicData uri="http://schemas.microsoft.com/office/word/2010/wordprocessingShape">
                  <wps:wsp>
                    <wps:cNvSpPr>
                      <a:spLocks noChangeArrowheads="1"/>
                    </wps:cNvSpPr>
                    <wps:spPr bwMode="auto">
                      <a:xfrm>
                        <a:off x="0" y="0"/>
                        <a:ext cx="5940425" cy="6350"/>
                      </a:xfrm>
                      <a:custGeom>
                        <a:avLst/>
                        <a:gdLst>
                          <a:gd name="T0" fmla="*/ 0 w 9355"/>
                          <a:gd name="T1" fmla="*/ 0 h 10"/>
                          <a:gd name="T2" fmla="*/ 9354 w 9355"/>
                          <a:gd name="T3" fmla="*/ 0 h 10"/>
                          <a:gd name="T4" fmla="*/ 9354 w 9355"/>
                          <a:gd name="T5" fmla="*/ 9 h 10"/>
                          <a:gd name="T6" fmla="*/ 0 w 9355"/>
                          <a:gd name="T7" fmla="*/ 9 h 10"/>
                          <a:gd name="T8" fmla="*/ 0 w 9355"/>
                          <a:gd name="T9" fmla="*/ 0 h 10"/>
                        </a:gdLst>
                        <a:ahLst/>
                        <a:cxnLst>
                          <a:cxn ang="0">
                            <a:pos x="T0" y="T1"/>
                          </a:cxn>
                          <a:cxn ang="0">
                            <a:pos x="T2" y="T3"/>
                          </a:cxn>
                          <a:cxn ang="0">
                            <a:pos x="T4" y="T5"/>
                          </a:cxn>
                          <a:cxn ang="0">
                            <a:pos x="T6" y="T7"/>
                          </a:cxn>
                          <a:cxn ang="0">
                            <a:pos x="T8" y="T9"/>
                          </a:cxn>
                        </a:cxnLst>
                        <a:rect l="0" t="0" r="r" b="b"/>
                        <a:pathLst>
                          <a:path w="9355" h="10">
                            <a:moveTo>
                              <a:pt x="0" y="0"/>
                            </a:moveTo>
                            <a:lnTo>
                              <a:pt x="9354" y="0"/>
                            </a:lnTo>
                            <a:lnTo>
                              <a:pt x="9354" y="9"/>
                            </a:lnTo>
                            <a:lnTo>
                              <a:pt x="0" y="9"/>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Freeform 15" o:spid="_x0000_s1026" o:spt="100" style="position:absolute;left:0pt;margin-left:70.85pt;margin-top:78.8pt;height:0.5pt;width:467.75pt;mso-position-horizontal-relative:page;mso-position-vertical-relative:page;z-index:251659264;mso-width-relative:page;mso-height-relative:page;" fillcolor="#000000" filled="t" stroked="f" coordsize="9355,10" o:allowincell="f" o:gfxdata="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7BWMUdgAAAAMAQAADwAAAAAAAAABACAAAAAiAAAAZHJzL2Rvd25yZXYueG1sUEsBAhQAFAAAAAgA&#10;h07iQDxOjJEJAwAAvAcAAA4AAAAAAAAAAQAgAAAAJwEAAGRycy9lMm9Eb2MueG1sUEsFBgAAAAAG&#10;AAYAWQEAAKIGAAAAAA==&#10;" path="m0,0l9354,0,9354,9,0,9,0,0xe">
              <v:path o:connectlocs="0,0;5939790,0;5939790,5715;0,5715;0,0" o:connectangles="0,0,0,0,0"/>
              <v:fill on="t" focussize="0,0"/>
              <v:stroke on="f"/>
              <v:imagedata o:title=""/>
              <o:lock v:ext="edit" aspectratio="f"/>
            </v:shape>
          </w:pict>
        </mc:Fallback>
      </mc:AlternateContent>
    </w:r>
    <w:r>
      <w:rPr>
        <w:rFonts w:ascii="黑体" w:hAnsi="黑体" w:eastAsia="黑体" w:cs="黑体"/>
        <w:sz w:val="20"/>
        <w:szCs w:val="20"/>
      </w:rPr>
      <w:t>JJF</w:t>
    </w:r>
    <w:r>
      <w:rPr>
        <w:rFonts w:ascii="黑体" w:hAnsi="黑体" w:eastAsia="黑体" w:cs="黑体"/>
        <w:spacing w:val="7"/>
        <w:sz w:val="20"/>
        <w:szCs w:val="20"/>
      </w:rPr>
      <w:t>（</w:t>
    </w:r>
    <w:r>
      <w:rPr>
        <w:rFonts w:hint="eastAsia" w:ascii="黑体" w:hAnsi="黑体" w:eastAsia="黑体" w:cs="黑体"/>
        <w:spacing w:val="7"/>
        <w:sz w:val="20"/>
        <w:szCs w:val="20"/>
        <w:lang w:eastAsia="zh-CN"/>
      </w:rPr>
      <w:t>皖</w:t>
    </w:r>
    <w:r>
      <w:rPr>
        <w:rFonts w:ascii="黑体" w:hAnsi="黑体" w:eastAsia="黑体" w:cs="黑体"/>
        <w:spacing w:val="7"/>
        <w:sz w:val="20"/>
        <w:szCs w:val="20"/>
      </w:rPr>
      <w:t>）</w:t>
    </w:r>
    <w:r>
      <w:rPr>
        <w:rFonts w:hint="eastAsia" w:ascii="黑体" w:hAnsi="黑体" w:eastAsia="黑体" w:cs="黑体"/>
        <w:spacing w:val="7"/>
        <w:sz w:val="20"/>
        <w:szCs w:val="20"/>
        <w:lang w:eastAsia="zh-CN"/>
      </w:rPr>
      <w:t xml:space="preserve"> XXX</w:t>
    </w:r>
    <w:r>
      <w:rPr>
        <w:rFonts w:ascii="黑体" w:hAnsi="黑体" w:eastAsia="黑体" w:cs="黑体"/>
        <w:spacing w:val="7"/>
        <w:sz w:val="20"/>
        <w:szCs w:val="20"/>
      </w:rPr>
      <w:t>—202</w:t>
    </w:r>
    <w:r>
      <w:rPr>
        <w:rFonts w:hint="eastAsia" w:ascii="黑体" w:hAnsi="黑体" w:eastAsia="黑体" w:cs="黑体"/>
        <w:spacing w:val="7"/>
        <w:sz w:val="20"/>
        <w:szCs w:val="20"/>
        <w:lang w:eastAsia="zh-CN"/>
      </w:rPr>
      <w:t>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744A9">
    <w:pPr>
      <w:pStyle w:val="10"/>
    </w:pPr>
    <w:r>
      <w:rPr>
        <w:rFonts w:ascii="黑体" w:hAnsi="黑体" w:eastAsia="黑体" w:cs="黑体"/>
        <w:sz w:val="20"/>
        <w:szCs w:val="20"/>
      </w:rPr>
      <w:t>JJF</w:t>
    </w:r>
    <w:r>
      <w:rPr>
        <w:rFonts w:ascii="黑体" w:hAnsi="黑体" w:eastAsia="黑体" w:cs="黑体"/>
        <w:spacing w:val="7"/>
        <w:sz w:val="20"/>
        <w:szCs w:val="20"/>
      </w:rPr>
      <w:t>（</w:t>
    </w:r>
    <w:r>
      <w:rPr>
        <w:rFonts w:hint="eastAsia" w:ascii="黑体" w:hAnsi="黑体" w:eastAsia="黑体" w:cs="黑体"/>
        <w:spacing w:val="7"/>
        <w:sz w:val="20"/>
        <w:szCs w:val="20"/>
        <w:lang w:eastAsia="zh-CN"/>
      </w:rPr>
      <w:t>皖</w:t>
    </w:r>
    <w:r>
      <w:rPr>
        <w:rFonts w:ascii="黑体" w:hAnsi="黑体" w:eastAsia="黑体" w:cs="黑体"/>
        <w:spacing w:val="7"/>
        <w:sz w:val="20"/>
        <w:szCs w:val="20"/>
      </w:rPr>
      <w:t>）</w:t>
    </w:r>
    <w:r>
      <w:rPr>
        <w:rFonts w:hint="eastAsia" w:ascii="黑体" w:hAnsi="黑体" w:eastAsia="黑体" w:cs="黑体"/>
        <w:spacing w:val="7"/>
        <w:sz w:val="20"/>
        <w:szCs w:val="20"/>
        <w:lang w:eastAsia="zh-CN"/>
      </w:rPr>
      <w:t>XXX</w:t>
    </w:r>
    <w:r>
      <w:rPr>
        <w:rFonts w:ascii="黑体" w:hAnsi="黑体" w:eastAsia="黑体" w:cs="黑体"/>
        <w:spacing w:val="7"/>
        <w:sz w:val="20"/>
        <w:szCs w:val="20"/>
      </w:rPr>
      <w:t>—202</w:t>
    </w:r>
    <w:r>
      <w:rPr>
        <w:rFonts w:hint="eastAsia" w:ascii="黑体" w:hAnsi="黑体" w:eastAsia="黑体" w:cs="黑体"/>
        <w:spacing w:val="7"/>
        <w:sz w:val="20"/>
        <w:szCs w:val="20"/>
        <w:lang w:eastAsia="zh-CN"/>
      </w:rPr>
      <w:t>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F2BD1">
    <w:pPr>
      <w:pStyle w:val="10"/>
    </w:pPr>
    <w:r>
      <w:rPr>
        <w:rFonts w:hint="eastAsia"/>
        <w:lang w:eastAsia="zh-CN"/>
      </w:rPr>
      <w:t>JJF（皖）XXX-2025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C79"/>
    <w:rsid w:val="00010C57"/>
    <w:rsid w:val="00026F61"/>
    <w:rsid w:val="00035815"/>
    <w:rsid w:val="00077D2C"/>
    <w:rsid w:val="00091CA3"/>
    <w:rsid w:val="000941CC"/>
    <w:rsid w:val="000B030F"/>
    <w:rsid w:val="000D23C5"/>
    <w:rsid w:val="000E1F75"/>
    <w:rsid w:val="000E5B4E"/>
    <w:rsid w:val="0010447A"/>
    <w:rsid w:val="001155A4"/>
    <w:rsid w:val="00140939"/>
    <w:rsid w:val="001439F6"/>
    <w:rsid w:val="001715E8"/>
    <w:rsid w:val="0019369B"/>
    <w:rsid w:val="001A0765"/>
    <w:rsid w:val="001B3CD8"/>
    <w:rsid w:val="001B6BFC"/>
    <w:rsid w:val="00217F04"/>
    <w:rsid w:val="0024004A"/>
    <w:rsid w:val="002619E1"/>
    <w:rsid w:val="00265B30"/>
    <w:rsid w:val="002930CE"/>
    <w:rsid w:val="002A1138"/>
    <w:rsid w:val="002C467B"/>
    <w:rsid w:val="002E1815"/>
    <w:rsid w:val="002E70FB"/>
    <w:rsid w:val="00314249"/>
    <w:rsid w:val="00317881"/>
    <w:rsid w:val="003247DD"/>
    <w:rsid w:val="0033315A"/>
    <w:rsid w:val="003577BB"/>
    <w:rsid w:val="00365DE1"/>
    <w:rsid w:val="0038345A"/>
    <w:rsid w:val="003A26A6"/>
    <w:rsid w:val="003B4479"/>
    <w:rsid w:val="003C00CC"/>
    <w:rsid w:val="003C29C4"/>
    <w:rsid w:val="00427BCE"/>
    <w:rsid w:val="00436101"/>
    <w:rsid w:val="0048343B"/>
    <w:rsid w:val="004D2C56"/>
    <w:rsid w:val="00521EE4"/>
    <w:rsid w:val="00542634"/>
    <w:rsid w:val="0058215F"/>
    <w:rsid w:val="005C46D0"/>
    <w:rsid w:val="005D6A63"/>
    <w:rsid w:val="005E77C0"/>
    <w:rsid w:val="00635BAB"/>
    <w:rsid w:val="006749E1"/>
    <w:rsid w:val="0068534C"/>
    <w:rsid w:val="006A3D94"/>
    <w:rsid w:val="006A46C0"/>
    <w:rsid w:val="006B4B31"/>
    <w:rsid w:val="006B554C"/>
    <w:rsid w:val="006E41CA"/>
    <w:rsid w:val="006F1226"/>
    <w:rsid w:val="006F6F7C"/>
    <w:rsid w:val="00707413"/>
    <w:rsid w:val="00756709"/>
    <w:rsid w:val="00775827"/>
    <w:rsid w:val="0078325B"/>
    <w:rsid w:val="007E0388"/>
    <w:rsid w:val="00820A75"/>
    <w:rsid w:val="00844F24"/>
    <w:rsid w:val="008450CF"/>
    <w:rsid w:val="00855DE2"/>
    <w:rsid w:val="00887763"/>
    <w:rsid w:val="008B3D59"/>
    <w:rsid w:val="008D5A1F"/>
    <w:rsid w:val="00906262"/>
    <w:rsid w:val="00922B98"/>
    <w:rsid w:val="009363F8"/>
    <w:rsid w:val="00940258"/>
    <w:rsid w:val="009428EA"/>
    <w:rsid w:val="00963DAD"/>
    <w:rsid w:val="00982DAB"/>
    <w:rsid w:val="00983686"/>
    <w:rsid w:val="00987E2B"/>
    <w:rsid w:val="009B06CC"/>
    <w:rsid w:val="009B429A"/>
    <w:rsid w:val="009F45BE"/>
    <w:rsid w:val="00A17D47"/>
    <w:rsid w:val="00A24E17"/>
    <w:rsid w:val="00A62439"/>
    <w:rsid w:val="00A97F80"/>
    <w:rsid w:val="00AB3000"/>
    <w:rsid w:val="00B2222B"/>
    <w:rsid w:val="00B27802"/>
    <w:rsid w:val="00B62BEC"/>
    <w:rsid w:val="00B9454E"/>
    <w:rsid w:val="00BD2786"/>
    <w:rsid w:val="00C20C79"/>
    <w:rsid w:val="00C5637E"/>
    <w:rsid w:val="00C814B6"/>
    <w:rsid w:val="00C8713D"/>
    <w:rsid w:val="00CA54A3"/>
    <w:rsid w:val="00CB1088"/>
    <w:rsid w:val="00CB4BC5"/>
    <w:rsid w:val="00CD7D03"/>
    <w:rsid w:val="00CF14BC"/>
    <w:rsid w:val="00CF4DB3"/>
    <w:rsid w:val="00D038FD"/>
    <w:rsid w:val="00D15A25"/>
    <w:rsid w:val="00D26D72"/>
    <w:rsid w:val="00D36106"/>
    <w:rsid w:val="00D80A33"/>
    <w:rsid w:val="00D87B58"/>
    <w:rsid w:val="00D931DF"/>
    <w:rsid w:val="00DA0D07"/>
    <w:rsid w:val="00DA1B81"/>
    <w:rsid w:val="00DA3D83"/>
    <w:rsid w:val="00DC4677"/>
    <w:rsid w:val="00DE0CA9"/>
    <w:rsid w:val="00E17914"/>
    <w:rsid w:val="00E227E0"/>
    <w:rsid w:val="00E24BC4"/>
    <w:rsid w:val="00E74DC3"/>
    <w:rsid w:val="00E90E8D"/>
    <w:rsid w:val="00EB1C9F"/>
    <w:rsid w:val="00ED6D3B"/>
    <w:rsid w:val="00EE5325"/>
    <w:rsid w:val="00F25528"/>
    <w:rsid w:val="00F7545B"/>
    <w:rsid w:val="00FA2A3E"/>
    <w:rsid w:val="00FA6A43"/>
    <w:rsid w:val="00FB0888"/>
    <w:rsid w:val="00FF4FD8"/>
    <w:rsid w:val="1DFA2119"/>
    <w:rsid w:val="3A8368AC"/>
    <w:rsid w:val="610F4223"/>
    <w:rsid w:val="74E32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2">
    <w:name w:val="toc 7"/>
    <w:basedOn w:val="1"/>
    <w:next w:val="1"/>
    <w:autoRedefine/>
    <w:unhideWhenUsed/>
    <w:qFormat/>
    <w:uiPriority w:val="39"/>
    <w:pPr>
      <w:ind w:left="1260"/>
    </w:pPr>
    <w:rPr>
      <w:rFonts w:asciiTheme="minorHAnsi" w:hAnsiTheme="minorHAnsi"/>
      <w:sz w:val="18"/>
      <w:szCs w:val="18"/>
    </w:rPr>
  </w:style>
  <w:style w:type="paragraph" w:styleId="3">
    <w:name w:val="Body Text"/>
    <w:basedOn w:val="1"/>
    <w:semiHidden/>
    <w:qFormat/>
    <w:uiPriority w:val="0"/>
    <w:rPr>
      <w:rFonts w:eastAsia="Arial"/>
    </w:rPr>
  </w:style>
  <w:style w:type="paragraph" w:styleId="4">
    <w:name w:val="toc 5"/>
    <w:basedOn w:val="1"/>
    <w:next w:val="1"/>
    <w:autoRedefine/>
    <w:unhideWhenUsed/>
    <w:qFormat/>
    <w:uiPriority w:val="39"/>
    <w:pPr>
      <w:ind w:left="840"/>
    </w:pPr>
    <w:rPr>
      <w:rFonts w:asciiTheme="minorHAnsi" w:hAnsiTheme="minorHAnsi"/>
      <w:sz w:val="18"/>
      <w:szCs w:val="18"/>
    </w:rPr>
  </w:style>
  <w:style w:type="paragraph" w:styleId="5">
    <w:name w:val="toc 3"/>
    <w:basedOn w:val="1"/>
    <w:next w:val="1"/>
    <w:autoRedefine/>
    <w:unhideWhenUsed/>
    <w:uiPriority w:val="39"/>
    <w:pPr>
      <w:ind w:left="420"/>
    </w:pPr>
    <w:rPr>
      <w:rFonts w:asciiTheme="minorHAnsi" w:hAnsiTheme="minorHAnsi"/>
      <w:i/>
      <w:iCs/>
      <w:sz w:val="20"/>
      <w:szCs w:val="20"/>
    </w:rPr>
  </w:style>
  <w:style w:type="paragraph" w:styleId="6">
    <w:name w:val="toc 8"/>
    <w:basedOn w:val="1"/>
    <w:next w:val="1"/>
    <w:autoRedefine/>
    <w:unhideWhenUsed/>
    <w:qFormat/>
    <w:uiPriority w:val="39"/>
    <w:pPr>
      <w:ind w:left="1470"/>
    </w:pPr>
    <w:rPr>
      <w:rFonts w:asciiTheme="minorHAnsi" w:hAnsiTheme="minorHAnsi"/>
      <w:sz w:val="18"/>
      <w:szCs w:val="18"/>
    </w:rPr>
  </w:style>
  <w:style w:type="paragraph" w:styleId="7">
    <w:name w:val="Date"/>
    <w:basedOn w:val="1"/>
    <w:next w:val="1"/>
    <w:link w:val="24"/>
    <w:semiHidden/>
    <w:unhideWhenUsed/>
    <w:qFormat/>
    <w:uiPriority w:val="99"/>
    <w:pPr>
      <w:ind w:left="100" w:leftChars="2500"/>
    </w:pPr>
  </w:style>
  <w:style w:type="paragraph" w:styleId="8">
    <w:name w:val="Balloon Text"/>
    <w:basedOn w:val="1"/>
    <w:link w:val="21"/>
    <w:semiHidden/>
    <w:unhideWhenUsed/>
    <w:qFormat/>
    <w:uiPriority w:val="99"/>
    <w:rPr>
      <w:sz w:val="18"/>
      <w:szCs w:val="18"/>
    </w:rPr>
  </w:style>
  <w:style w:type="paragraph" w:styleId="9">
    <w:name w:val="footer"/>
    <w:basedOn w:val="1"/>
    <w:link w:val="23"/>
    <w:unhideWhenUsed/>
    <w:qFormat/>
    <w:uiPriority w:val="99"/>
    <w:pPr>
      <w:tabs>
        <w:tab w:val="center" w:pos="4153"/>
        <w:tab w:val="right" w:pos="8306"/>
      </w:tabs>
    </w:pPr>
    <w:rPr>
      <w:sz w:val="18"/>
      <w:szCs w:val="18"/>
    </w:rPr>
  </w:style>
  <w:style w:type="paragraph" w:styleId="10">
    <w:name w:val="header"/>
    <w:basedOn w:val="1"/>
    <w:link w:val="22"/>
    <w:unhideWhenUsed/>
    <w:qFormat/>
    <w:uiPriority w:val="99"/>
    <w:pPr>
      <w:pBdr>
        <w:bottom w:val="single" w:color="auto" w:sz="6" w:space="1"/>
      </w:pBdr>
      <w:tabs>
        <w:tab w:val="center" w:pos="4153"/>
        <w:tab w:val="right" w:pos="8306"/>
      </w:tabs>
      <w:jc w:val="center"/>
    </w:pPr>
    <w:rPr>
      <w:sz w:val="18"/>
      <w:szCs w:val="18"/>
    </w:rPr>
  </w:style>
  <w:style w:type="paragraph" w:styleId="11">
    <w:name w:val="toc 1"/>
    <w:basedOn w:val="1"/>
    <w:next w:val="1"/>
    <w:autoRedefine/>
    <w:unhideWhenUsed/>
    <w:qFormat/>
    <w:uiPriority w:val="39"/>
    <w:pPr>
      <w:spacing w:before="120" w:after="120"/>
    </w:pPr>
    <w:rPr>
      <w:rFonts w:asciiTheme="minorHAnsi" w:hAnsiTheme="minorHAnsi"/>
      <w:b/>
      <w:bCs/>
      <w:caps/>
      <w:sz w:val="20"/>
      <w:szCs w:val="20"/>
    </w:rPr>
  </w:style>
  <w:style w:type="paragraph" w:styleId="12">
    <w:name w:val="toc 4"/>
    <w:basedOn w:val="1"/>
    <w:next w:val="1"/>
    <w:autoRedefine/>
    <w:unhideWhenUsed/>
    <w:qFormat/>
    <w:uiPriority w:val="39"/>
    <w:pPr>
      <w:ind w:left="630"/>
    </w:pPr>
    <w:rPr>
      <w:rFonts w:asciiTheme="minorHAnsi" w:hAnsiTheme="minorHAnsi"/>
      <w:sz w:val="18"/>
      <w:szCs w:val="18"/>
    </w:rPr>
  </w:style>
  <w:style w:type="paragraph" w:styleId="13">
    <w:name w:val="toc 6"/>
    <w:basedOn w:val="1"/>
    <w:next w:val="1"/>
    <w:autoRedefine/>
    <w:unhideWhenUsed/>
    <w:qFormat/>
    <w:uiPriority w:val="39"/>
    <w:pPr>
      <w:ind w:left="1050"/>
    </w:pPr>
    <w:rPr>
      <w:rFonts w:asciiTheme="minorHAnsi" w:hAnsiTheme="minorHAnsi"/>
      <w:sz w:val="18"/>
      <w:szCs w:val="18"/>
    </w:rPr>
  </w:style>
  <w:style w:type="paragraph" w:styleId="14">
    <w:name w:val="toc 2"/>
    <w:basedOn w:val="1"/>
    <w:next w:val="1"/>
    <w:autoRedefine/>
    <w:unhideWhenUsed/>
    <w:qFormat/>
    <w:uiPriority w:val="39"/>
    <w:pPr>
      <w:ind w:left="210"/>
    </w:pPr>
    <w:rPr>
      <w:rFonts w:asciiTheme="minorHAnsi" w:hAnsiTheme="minorHAnsi"/>
      <w:smallCaps/>
      <w:sz w:val="20"/>
      <w:szCs w:val="20"/>
    </w:rPr>
  </w:style>
  <w:style w:type="paragraph" w:styleId="15">
    <w:name w:val="toc 9"/>
    <w:basedOn w:val="1"/>
    <w:next w:val="1"/>
    <w:autoRedefine/>
    <w:unhideWhenUsed/>
    <w:qFormat/>
    <w:uiPriority w:val="39"/>
    <w:pPr>
      <w:ind w:left="1680"/>
    </w:pPr>
    <w:rPr>
      <w:rFonts w:asciiTheme="minorHAnsi" w:hAnsiTheme="minorHAnsi"/>
      <w:sz w:val="18"/>
      <w:szCs w:val="18"/>
    </w:rPr>
  </w:style>
  <w:style w:type="character" w:styleId="18">
    <w:name w:val="Hyperlink"/>
    <w:basedOn w:val="17"/>
    <w:unhideWhenUsed/>
    <w:qFormat/>
    <w:uiPriority w:val="99"/>
    <w:rPr>
      <w:color w:val="0000FF" w:themeColor="hyperlink"/>
      <w:u w:val="single"/>
      <w14:textFill>
        <w14:solidFill>
          <w14:schemeClr w14:val="hlink"/>
        </w14:solidFill>
      </w14:textFill>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rPr>
      <w:rFonts w:eastAsia="Arial"/>
    </w:rPr>
  </w:style>
  <w:style w:type="character" w:customStyle="1" w:styleId="21">
    <w:name w:val="批注框文本 Char"/>
    <w:basedOn w:val="17"/>
    <w:link w:val="8"/>
    <w:semiHidden/>
    <w:qFormat/>
    <w:uiPriority w:val="99"/>
    <w:rPr>
      <w:sz w:val="18"/>
      <w:szCs w:val="18"/>
    </w:rPr>
  </w:style>
  <w:style w:type="character" w:customStyle="1" w:styleId="22">
    <w:name w:val="页眉 Char"/>
    <w:basedOn w:val="17"/>
    <w:link w:val="10"/>
    <w:qFormat/>
    <w:uiPriority w:val="99"/>
    <w:rPr>
      <w:sz w:val="18"/>
      <w:szCs w:val="18"/>
    </w:rPr>
  </w:style>
  <w:style w:type="character" w:customStyle="1" w:styleId="23">
    <w:name w:val="页脚 Char"/>
    <w:basedOn w:val="17"/>
    <w:link w:val="9"/>
    <w:qFormat/>
    <w:uiPriority w:val="99"/>
    <w:rPr>
      <w:sz w:val="18"/>
      <w:szCs w:val="18"/>
    </w:rPr>
  </w:style>
  <w:style w:type="character" w:customStyle="1" w:styleId="24">
    <w:name w:val="日期 Char"/>
    <w:basedOn w:val="17"/>
    <w:link w:val="7"/>
    <w:semiHidden/>
    <w:qFormat/>
    <w:uiPriority w:val="99"/>
  </w:style>
  <w:style w:type="paragraph" w:styleId="25">
    <w:name w:val="List Paragraph"/>
    <w:basedOn w:val="1"/>
    <w:qFormat/>
    <w:uiPriority w:val="34"/>
    <w:pPr>
      <w:ind w:firstLine="420" w:firstLineChars="200"/>
    </w:pPr>
    <w:rPr>
      <w:rFonts w:eastAsia="Arial"/>
      <w:lang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tif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0DB5E9-79D0-467F-BD5F-90CDA1838B5E}">
  <ds:schemaRefs/>
</ds:datastoreItem>
</file>

<file path=docProps/app.xml><?xml version="1.0" encoding="utf-8"?>
<Properties xmlns="http://schemas.openxmlformats.org/officeDocument/2006/extended-properties" xmlns:vt="http://schemas.openxmlformats.org/officeDocument/2006/docPropsVTypes">
  <Template>Normal</Template>
  <Pages>16</Pages>
  <Words>4763</Words>
  <Characters>5491</Characters>
  <Lines>64</Lines>
  <Paragraphs>18</Paragraphs>
  <TotalTime>0</TotalTime>
  <ScaleCrop>false</ScaleCrop>
  <LinksUpToDate>false</LinksUpToDate>
  <CharactersWithSpaces>5968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2025-07-15T07:40:00Z</dcterms:created>
  <dc:creator>1434</dc:creator>
  <cp:lastModifiedBy>桂桂</cp:lastModifiedBy>
  <cp:lastPrinted>2025-03-25T01:45:00Z</cp:lastPrinted>
  <dcterms:modified xsi:type="dcterms:W3CDTF">2025-07-22T01:06:38Z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2025-02-08T09:08:53Z</vt:filetime>
  </property>
  <property fmtid="{D5CDD505-2E9C-101B-9397-08002B2CF9AE}" pid="4" name="KSOTemplateDocerSaveRecord">
    <vt:lpwstr>eyJoZGlkIjoiNjc3MTJlNTEzOTM5ZDI4Mzk3OTA2YTc2YmRmZjczYzQiLCJ1c2VySWQiOiI2NzgyNzEzNjUifQ==</vt:lpwstr>
  </property>
  <property fmtid="{D5CDD505-2E9C-101B-9397-08002B2CF9AE}" pid="5" name="KSOProductBuildVer">
    <vt:lpwstr>2052-12.1.0.21915</vt:lpwstr>
  </property>
  <property fmtid="{D5CDD505-2E9C-101B-9397-08002B2CF9AE}" pid="6" name="ICV">
    <vt:lpwstr>2EBF786899824DA48D1C38C351BF9A61_12</vt:lpwstr>
  </property>
</Properties>
</file>